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445916">
        <w:rPr>
          <w:rFonts w:ascii="Arial" w:hAnsi="Arial" w:cs="Arial"/>
          <w:b/>
          <w:bCs/>
          <w:iCs/>
          <w:sz w:val="26"/>
          <w:szCs w:val="22"/>
          <w:lang w:val="es-CR"/>
        </w:rPr>
        <w:t>782</w:t>
      </w:r>
      <w:bookmarkStart w:id="0" w:name="_GoBack"/>
      <w:bookmarkEnd w:id="0"/>
      <w:r w:rsidRPr="00D958BC">
        <w:rPr>
          <w:rFonts w:ascii="Arial" w:hAnsi="Arial" w:cs="Arial"/>
          <w:b/>
          <w:bCs/>
          <w:iCs/>
          <w:sz w:val="26"/>
          <w:szCs w:val="22"/>
          <w:lang w:val="es-CR"/>
        </w:rPr>
        <w:t>-201</w:t>
      </w:r>
      <w:r w:rsidR="00C70F02">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4E64EF" w:rsidP="007742A1">
            <w:pPr>
              <w:tabs>
                <w:tab w:val="right" w:pos="2100"/>
                <w:tab w:val="left" w:pos="2694"/>
              </w:tabs>
              <w:rPr>
                <w:rFonts w:ascii="Arial" w:eastAsia="SimSun" w:hAnsi="Arial" w:cs="Arial"/>
                <w:b/>
                <w:iCs/>
                <w:lang w:val="es-ES_tradnl" w:eastAsia="en-US"/>
              </w:rPr>
            </w:pPr>
            <w:r>
              <w:rPr>
                <w:rFonts w:ascii="Arial" w:eastAsia="SimSun" w:hAnsi="Arial" w:cs="Arial"/>
                <w:b/>
                <w:iCs/>
                <w:lang w:val="es-ES_tradnl" w:eastAsia="en-US"/>
              </w:rPr>
              <w:t>Pa</w:t>
            </w:r>
            <w:r w:rsidR="007742A1" w:rsidRPr="00D958BC">
              <w:rPr>
                <w:rFonts w:ascii="Arial" w:eastAsia="SimSun" w:hAnsi="Arial" w:cs="Arial"/>
                <w:b/>
                <w:iCs/>
                <w:lang w:val="es-ES_tradnl" w:eastAsia="en-US"/>
              </w:rPr>
              <w:t>ra:</w:t>
            </w:r>
          </w:p>
        </w:tc>
        <w:tc>
          <w:tcPr>
            <w:tcW w:w="7611" w:type="dxa"/>
          </w:tcPr>
          <w:p w:rsidR="006B1B55" w:rsidRDefault="00476CE1" w:rsidP="00CA6F4F">
            <w:pPr>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Ing. Luis Paulino Méndez Badilla</w:t>
            </w:r>
            <w:r w:rsidR="0090700F" w:rsidRPr="00771F15">
              <w:rPr>
                <w:rFonts w:ascii="Arial" w:eastAsia="Cambria" w:hAnsi="Arial" w:cs="Arial"/>
                <w:sz w:val="22"/>
                <w:szCs w:val="22"/>
                <w:lang w:val="es-ES_tradnl" w:eastAsia="en-US"/>
              </w:rPr>
              <w:t>, Rector</w:t>
            </w:r>
            <w:r w:rsidR="00CC7CB5" w:rsidRPr="00771F15">
              <w:rPr>
                <w:rFonts w:ascii="Arial" w:eastAsia="Cambria" w:hAnsi="Arial" w:cs="Arial"/>
                <w:sz w:val="22"/>
                <w:szCs w:val="22"/>
                <w:lang w:val="es-ES_tradnl" w:eastAsia="en-US"/>
              </w:rPr>
              <w:t xml:space="preserve"> </w:t>
            </w:r>
          </w:p>
          <w:p w:rsidR="00E435A4" w:rsidRPr="00267FAF" w:rsidRDefault="00E435A4" w:rsidP="00E435A4">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Lic. Manuel Corrales Umaña, Gerente Área Servicios Sociales</w:t>
            </w:r>
          </w:p>
          <w:p w:rsidR="00E435A4" w:rsidRDefault="00E435A4" w:rsidP="00E435A4">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Cont</w:t>
            </w:r>
            <w:r>
              <w:rPr>
                <w:rFonts w:ascii="Arial" w:eastAsia="Cambria" w:hAnsi="Arial" w:cs="Arial"/>
                <w:sz w:val="22"/>
                <w:szCs w:val="22"/>
                <w:lang w:val="es-ES_tradnl" w:eastAsia="en-US"/>
              </w:rPr>
              <w:t>raloría General de la República</w:t>
            </w:r>
          </w:p>
          <w:p w:rsidR="00E435A4" w:rsidRPr="00771F15" w:rsidRDefault="00E435A4" w:rsidP="00E435A4">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Dr. Humberto Villalta Solano, Vicerrector de Administración</w:t>
            </w:r>
          </w:p>
          <w:p w:rsidR="00E435A4" w:rsidRDefault="00E435A4" w:rsidP="00E435A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B.Q. Grettel Castro Portuguez</w:t>
            </w:r>
            <w:r w:rsidRPr="00771F15">
              <w:rPr>
                <w:rFonts w:ascii="Arial" w:eastAsia="Cambria" w:hAnsi="Arial" w:cs="Arial"/>
                <w:sz w:val="22"/>
                <w:szCs w:val="22"/>
                <w:lang w:val="es-ES_tradnl" w:eastAsia="en-US"/>
              </w:rPr>
              <w:t>, Vicerrector</w:t>
            </w:r>
            <w:r>
              <w:rPr>
                <w:rFonts w:ascii="Arial" w:eastAsia="Cambria" w:hAnsi="Arial" w:cs="Arial"/>
                <w:sz w:val="22"/>
                <w:szCs w:val="22"/>
                <w:lang w:val="es-ES_tradnl" w:eastAsia="en-US"/>
              </w:rPr>
              <w:t>a</w:t>
            </w:r>
            <w:r w:rsidRPr="00771F15">
              <w:rPr>
                <w:rFonts w:ascii="Arial" w:eastAsia="Cambria" w:hAnsi="Arial" w:cs="Arial"/>
                <w:sz w:val="22"/>
                <w:szCs w:val="22"/>
                <w:lang w:val="es-ES_tradnl" w:eastAsia="en-US"/>
              </w:rPr>
              <w:t xml:space="preserve"> de Docencia </w:t>
            </w:r>
          </w:p>
          <w:p w:rsidR="00E435A4" w:rsidRPr="00771F15" w:rsidRDefault="00E435A4" w:rsidP="00E435A4">
            <w:pPr>
              <w:ind w:left="45"/>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M.Sc</w:t>
            </w:r>
            <w:proofErr w:type="spellEnd"/>
            <w:r>
              <w:rPr>
                <w:rFonts w:ascii="Arial" w:eastAsia="Cambria" w:hAnsi="Arial" w:cs="Arial"/>
                <w:sz w:val="22"/>
                <w:szCs w:val="22"/>
                <w:lang w:val="es-ES_tradnl" w:eastAsia="en-US"/>
              </w:rPr>
              <w:t>. Jorge Chaves Arce</w:t>
            </w:r>
            <w:r w:rsidRPr="00771F15">
              <w:rPr>
                <w:rFonts w:ascii="Arial" w:eastAsia="Cambria" w:hAnsi="Arial" w:cs="Arial"/>
                <w:sz w:val="22"/>
                <w:szCs w:val="22"/>
                <w:lang w:val="es-ES_tradnl" w:eastAsia="en-US"/>
              </w:rPr>
              <w:t xml:space="preserve">, Vicerrector de Investigación y Extensión </w:t>
            </w:r>
          </w:p>
          <w:p w:rsidR="00E435A4" w:rsidRPr="00771F15" w:rsidRDefault="00E435A4" w:rsidP="00E435A4">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Dra. Claudia Madrizova </w:t>
            </w:r>
            <w:proofErr w:type="spellStart"/>
            <w:r w:rsidRPr="00771F15">
              <w:rPr>
                <w:rFonts w:ascii="Arial" w:eastAsia="Cambria" w:hAnsi="Arial" w:cs="Arial"/>
                <w:sz w:val="22"/>
                <w:szCs w:val="22"/>
                <w:lang w:val="es-ES_tradnl" w:eastAsia="en-US"/>
              </w:rPr>
              <w:t>Madrizova</w:t>
            </w:r>
            <w:proofErr w:type="spellEnd"/>
            <w:r w:rsidRPr="00771F15">
              <w:rPr>
                <w:rFonts w:ascii="Arial" w:eastAsia="Cambria" w:hAnsi="Arial" w:cs="Arial"/>
                <w:sz w:val="22"/>
                <w:szCs w:val="22"/>
                <w:lang w:val="es-ES_tradnl" w:eastAsia="en-US"/>
              </w:rPr>
              <w:t xml:space="preserve">, Vicerrectora de Vida Estudiantil y Servicios Académicos </w:t>
            </w:r>
          </w:p>
          <w:p w:rsidR="00E435A4" w:rsidRPr="00771F15" w:rsidRDefault="00E435A4" w:rsidP="00E435A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Oscar López Villegas</w:t>
            </w:r>
            <w:r w:rsidRPr="00771F15">
              <w:rPr>
                <w:rFonts w:ascii="Arial" w:eastAsia="Cambria" w:hAnsi="Arial" w:cs="Arial"/>
                <w:sz w:val="22"/>
                <w:szCs w:val="22"/>
                <w:lang w:val="es-ES_tradnl" w:eastAsia="en-US"/>
              </w:rPr>
              <w:t xml:space="preserve">, Director </w:t>
            </w:r>
            <w:r>
              <w:rPr>
                <w:rFonts w:ascii="Arial" w:eastAsia="Cambria" w:hAnsi="Arial" w:cs="Arial"/>
                <w:sz w:val="22"/>
                <w:szCs w:val="22"/>
                <w:lang w:val="es-ES_tradnl" w:eastAsia="en-US"/>
              </w:rPr>
              <w:t xml:space="preserve">Campus Tecnológico Local </w:t>
            </w:r>
            <w:r w:rsidRPr="00771F15">
              <w:rPr>
                <w:rFonts w:ascii="Arial" w:eastAsia="Cambria" w:hAnsi="Arial" w:cs="Arial"/>
                <w:sz w:val="22"/>
                <w:szCs w:val="22"/>
                <w:lang w:val="es-ES_tradnl" w:eastAsia="en-US"/>
              </w:rPr>
              <w:t>San Carlos</w:t>
            </w:r>
          </w:p>
          <w:p w:rsidR="00E435A4" w:rsidRPr="00771F15" w:rsidRDefault="00E435A4" w:rsidP="00E435A4">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 xml:space="preserve">Máster Ronald Bonilla Rodríguez, Director </w:t>
            </w:r>
            <w:r>
              <w:rPr>
                <w:rFonts w:ascii="Arial" w:eastAsia="Cambria" w:hAnsi="Arial" w:cs="Arial"/>
                <w:sz w:val="22"/>
                <w:szCs w:val="22"/>
                <w:lang w:val="es-ES_tradnl" w:eastAsia="en-US"/>
              </w:rPr>
              <w:t xml:space="preserve">Campus Tecnológico Local </w:t>
            </w:r>
            <w:r w:rsidRPr="00771F15">
              <w:rPr>
                <w:rFonts w:ascii="Arial" w:eastAsia="Cambria" w:hAnsi="Arial" w:cs="Arial"/>
                <w:sz w:val="22"/>
                <w:szCs w:val="22"/>
                <w:lang w:val="es-ES_tradnl" w:eastAsia="en-US"/>
              </w:rPr>
              <w:t>San José</w:t>
            </w:r>
          </w:p>
          <w:p w:rsidR="00E435A4" w:rsidRPr="00771F15" w:rsidRDefault="00E435A4" w:rsidP="00E435A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Jean Carlo Miranda Fajardo</w:t>
            </w:r>
            <w:r w:rsidRPr="00771F15">
              <w:rPr>
                <w:rFonts w:ascii="Arial" w:eastAsia="Cambria" w:hAnsi="Arial" w:cs="Arial"/>
                <w:sz w:val="22"/>
                <w:szCs w:val="22"/>
                <w:lang w:val="es-ES_tradnl" w:eastAsia="en-US"/>
              </w:rPr>
              <w:t xml:space="preserve">, Director Centro Académico de </w:t>
            </w:r>
            <w:r>
              <w:rPr>
                <w:rFonts w:ascii="Arial" w:eastAsia="Cambria" w:hAnsi="Arial" w:cs="Arial"/>
                <w:sz w:val="22"/>
                <w:szCs w:val="22"/>
                <w:lang w:val="es-ES_tradnl" w:eastAsia="en-US"/>
              </w:rPr>
              <w:t xml:space="preserve">Limón </w:t>
            </w:r>
          </w:p>
          <w:p w:rsidR="00E435A4" w:rsidRPr="00771F15" w:rsidRDefault="00E435A4" w:rsidP="00E435A4">
            <w:pPr>
              <w:ind w:left="45"/>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Dr. Roberto Pereira Arroyo, Director Centro Académico de Alajuela</w:t>
            </w:r>
          </w:p>
          <w:p w:rsidR="00E435A4" w:rsidRDefault="00E435A4" w:rsidP="00E435A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M.A.E. José Antonio Sánchez Sanabria</w:t>
            </w:r>
            <w:r w:rsidRPr="00771F15">
              <w:rPr>
                <w:rFonts w:ascii="Arial" w:eastAsia="Cambria" w:hAnsi="Arial" w:cs="Arial"/>
                <w:sz w:val="22"/>
                <w:szCs w:val="22"/>
                <w:lang w:val="es-ES_tradnl" w:eastAsia="en-US"/>
              </w:rPr>
              <w:t>, Director Oficina de Planificación Institucional</w:t>
            </w:r>
          </w:p>
          <w:p w:rsidR="00B12317" w:rsidRDefault="00E435A4" w:rsidP="0058526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Máster Silvia Watson Araya, Directora Departamento Financiero Contable</w:t>
            </w:r>
          </w:p>
          <w:p w:rsidR="00E435A4" w:rsidRDefault="00E435A4" w:rsidP="00E435A4">
            <w:pPr>
              <w:jc w:val="both"/>
              <w:rPr>
                <w:rFonts w:ascii="Arial" w:eastAsia="Cambria" w:hAnsi="Arial" w:cs="Arial"/>
                <w:sz w:val="22"/>
                <w:szCs w:val="22"/>
                <w:lang w:val="es-ES_tradnl" w:eastAsia="en-US"/>
              </w:rPr>
            </w:pPr>
          </w:p>
          <w:p w:rsidR="00E435A4" w:rsidRPr="00256C13" w:rsidRDefault="00E435A4" w:rsidP="00E435A4">
            <w:pPr>
              <w:jc w:val="both"/>
              <w:rPr>
                <w:rFonts w:ascii="Arial" w:eastAsia="Cambria" w:hAnsi="Arial" w:cs="Arial"/>
                <w:sz w:val="22"/>
                <w:szCs w:val="22"/>
                <w:lang w:val="es-ES_tradnl"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BD38AF" w:rsidP="00AA61D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A</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E. Ana Damaris Quesada Murillo</w:t>
            </w:r>
            <w:r w:rsidR="008D7E9D"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Directora Ejecutiva</w:t>
            </w:r>
            <w:r w:rsidR="00D66ACE">
              <w:rPr>
                <w:rFonts w:ascii="Arial" w:eastAsia="Cambria" w:hAnsi="Arial" w:cs="Arial"/>
                <w:sz w:val="22"/>
                <w:szCs w:val="22"/>
                <w:lang w:val="es-ES_tradnl" w:eastAsia="en-US"/>
              </w:rPr>
              <w:t xml:space="preserve"> </w:t>
            </w:r>
          </w:p>
          <w:p w:rsidR="007742A1" w:rsidRPr="008E0D8C" w:rsidRDefault="00BD38AF"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008D7E9D"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4B5364"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w:t>
            </w:r>
            <w:r w:rsidR="0058526E">
              <w:rPr>
                <w:rFonts w:ascii="Arial" w:eastAsia="Cambria" w:hAnsi="Arial" w:cs="Arial"/>
                <w:b/>
                <w:sz w:val="22"/>
                <w:szCs w:val="22"/>
                <w:lang w:val="es-ES_tradnl" w:eastAsia="en-US"/>
              </w:rPr>
              <w:t>8</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sidR="000A787F">
              <w:rPr>
                <w:rFonts w:ascii="Arial" w:eastAsia="Cambria" w:hAnsi="Arial" w:cs="Arial"/>
                <w:b/>
                <w:sz w:val="22"/>
                <w:szCs w:val="22"/>
                <w:lang w:val="es-ES_tradnl" w:eastAsia="en-US"/>
              </w:rPr>
              <w:t>agosto</w:t>
            </w:r>
            <w:r w:rsidR="00D76019">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477A87" w:rsidRDefault="00FF209C" w:rsidP="0058526E">
            <w:pPr>
              <w:ind w:left="79" w:right="176"/>
              <w:jc w:val="both"/>
              <w:rPr>
                <w:rFonts w:ascii="Arial" w:eastAsia="Calibri" w:hAnsi="Arial" w:cs="Arial"/>
                <w:b/>
                <w:color w:val="000000"/>
                <w:sz w:val="22"/>
                <w:szCs w:val="22"/>
                <w:lang w:val="es-CR" w:eastAsia="en-US"/>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3F3400">
              <w:rPr>
                <w:rFonts w:ascii="Arial" w:eastAsia="Calibri" w:hAnsi="Arial" w:cs="Arial"/>
                <w:b/>
                <w:sz w:val="22"/>
                <w:szCs w:val="22"/>
              </w:rPr>
              <w:t>1</w:t>
            </w:r>
            <w:r w:rsidR="000A787F">
              <w:rPr>
                <w:rFonts w:ascii="Arial" w:eastAsia="Calibri" w:hAnsi="Arial" w:cs="Arial"/>
                <w:b/>
                <w:sz w:val="22"/>
                <w:szCs w:val="22"/>
              </w:rPr>
              <w:t>3</w:t>
            </w:r>
            <w:r w:rsidR="0058526E">
              <w:rPr>
                <w:rFonts w:ascii="Arial" w:eastAsia="Calibri" w:hAnsi="Arial" w:cs="Arial"/>
                <w:b/>
                <w:sz w:val="22"/>
                <w:szCs w:val="22"/>
              </w:rPr>
              <w:t>3</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58526E">
              <w:rPr>
                <w:rFonts w:ascii="Arial" w:eastAsia="Calibri" w:hAnsi="Arial" w:cs="Arial"/>
                <w:b/>
                <w:sz w:val="22"/>
                <w:szCs w:val="22"/>
              </w:rPr>
              <w:t>9</w:t>
            </w:r>
            <w:r w:rsidR="00477A87">
              <w:rPr>
                <w:rFonts w:ascii="Arial" w:eastAsia="Calibri" w:hAnsi="Arial" w:cs="Arial"/>
                <w:b/>
                <w:sz w:val="22"/>
                <w:szCs w:val="22"/>
              </w:rPr>
              <w:t>,</w:t>
            </w:r>
            <w:r w:rsidR="007742A1" w:rsidRPr="008F0835">
              <w:rPr>
                <w:rFonts w:ascii="Arial" w:eastAsia="Calibri" w:hAnsi="Arial" w:cs="Arial"/>
                <w:b/>
                <w:sz w:val="22"/>
                <w:szCs w:val="22"/>
              </w:rPr>
              <w:t xml:space="preserve"> del</w:t>
            </w:r>
            <w:r w:rsidR="004E64EF">
              <w:rPr>
                <w:rFonts w:ascii="Arial" w:eastAsia="Calibri" w:hAnsi="Arial" w:cs="Arial"/>
                <w:b/>
                <w:sz w:val="22"/>
                <w:szCs w:val="22"/>
              </w:rPr>
              <w:t xml:space="preserve"> </w:t>
            </w:r>
            <w:r w:rsidR="004B5364">
              <w:rPr>
                <w:rFonts w:ascii="Arial" w:eastAsia="Calibri" w:hAnsi="Arial" w:cs="Arial"/>
                <w:b/>
                <w:sz w:val="22"/>
                <w:szCs w:val="22"/>
              </w:rPr>
              <w:t>2</w:t>
            </w:r>
            <w:r w:rsidR="0058526E">
              <w:rPr>
                <w:rFonts w:ascii="Arial" w:eastAsia="Calibri" w:hAnsi="Arial" w:cs="Arial"/>
                <w:b/>
                <w:sz w:val="22"/>
                <w:szCs w:val="22"/>
              </w:rPr>
              <w:t>8</w:t>
            </w:r>
            <w:r w:rsidR="005A7222">
              <w:rPr>
                <w:rFonts w:ascii="Arial" w:eastAsia="Calibri" w:hAnsi="Arial" w:cs="Arial"/>
                <w:b/>
                <w:sz w:val="22"/>
                <w:szCs w:val="22"/>
              </w:rPr>
              <w:t xml:space="preserve"> de</w:t>
            </w:r>
            <w:r w:rsidR="000A787F">
              <w:rPr>
                <w:rFonts w:ascii="Arial" w:eastAsia="Calibri" w:hAnsi="Arial" w:cs="Arial"/>
                <w:b/>
                <w:sz w:val="22"/>
                <w:szCs w:val="22"/>
              </w:rPr>
              <w:t xml:space="preserve"> agosto</w:t>
            </w:r>
            <w:r w:rsidR="005A7222">
              <w:rPr>
                <w:rFonts w:ascii="Arial" w:eastAsia="Calibri" w:hAnsi="Arial" w:cs="Arial"/>
                <w:b/>
                <w:sz w:val="22"/>
                <w:szCs w:val="22"/>
              </w:rPr>
              <w:t xml:space="preserve"> </w:t>
            </w:r>
            <w:r w:rsidR="00A772EF" w:rsidRPr="008F0835">
              <w:rPr>
                <w:rFonts w:ascii="Arial" w:eastAsia="Calibri" w:hAnsi="Arial" w:cs="Arial"/>
                <w:b/>
                <w:sz w:val="22"/>
                <w:szCs w:val="22"/>
              </w:rPr>
              <w:t>de 201</w:t>
            </w:r>
            <w:r w:rsidR="00AA61D4">
              <w:rPr>
                <w:rFonts w:ascii="Arial" w:eastAsia="Calibri" w:hAnsi="Arial" w:cs="Arial"/>
                <w:b/>
                <w:sz w:val="22"/>
                <w:szCs w:val="22"/>
              </w:rPr>
              <w:t>9</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r w:rsidR="0058526E" w:rsidRPr="0058526E">
              <w:rPr>
                <w:rFonts w:ascii="Arial" w:eastAsia="Cambria" w:hAnsi="Arial" w:cs="Arial"/>
                <w:b/>
                <w:bCs/>
                <w:sz w:val="22"/>
                <w:szCs w:val="22"/>
                <w:lang w:val="es-CR" w:eastAsia="en-US"/>
              </w:rPr>
              <w:t>Ajustes en el “Informe de Liquidación Presupuestaria al 31 de diciembre de 2018” conocido en la Sesión Ordinaria No. 3106, Artículo 11, del 13 de febrero de 2019 y autorización del plan de amortización del déficit de ingresos generado por el no desembolso parcial del préstamo con el Banco Popular.</w:t>
            </w:r>
          </w:p>
        </w:tc>
      </w:tr>
    </w:tbl>
    <w:p w:rsidR="00ED72F3" w:rsidRDefault="00ED72F3"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E435A4" w:rsidRDefault="00E435A4" w:rsidP="007742A1">
      <w:pPr>
        <w:jc w:val="both"/>
        <w:rPr>
          <w:rFonts w:ascii="Arial" w:eastAsia="Cambria" w:hAnsi="Arial" w:cs="Arial"/>
          <w:lang w:val="es-ES_tradnl" w:eastAsia="en-US"/>
        </w:rPr>
      </w:pPr>
    </w:p>
    <w:p w:rsidR="00E435A4" w:rsidRPr="00E435A4" w:rsidRDefault="00E435A4" w:rsidP="00E435A4">
      <w:pPr>
        <w:rPr>
          <w:rFonts w:ascii="Arial" w:hAnsi="Arial" w:cs="Arial"/>
          <w:b/>
        </w:rPr>
      </w:pPr>
      <w:r w:rsidRPr="00E435A4">
        <w:rPr>
          <w:rFonts w:ascii="Arial" w:hAnsi="Arial" w:cs="Arial"/>
          <w:b/>
        </w:rPr>
        <w:t>RESULTANDO QUE:</w:t>
      </w:r>
    </w:p>
    <w:p w:rsidR="00E435A4" w:rsidRPr="00E435A4" w:rsidRDefault="00E435A4" w:rsidP="00E435A4">
      <w:pPr>
        <w:rPr>
          <w:rFonts w:ascii="Arial" w:hAnsi="Arial" w:cs="Arial"/>
          <w:b/>
          <w:sz w:val="20"/>
          <w:szCs w:val="20"/>
        </w:rPr>
      </w:pPr>
    </w:p>
    <w:p w:rsidR="00E435A4" w:rsidRPr="00E435A4" w:rsidRDefault="00E435A4" w:rsidP="00E435A4">
      <w:pPr>
        <w:numPr>
          <w:ilvl w:val="0"/>
          <w:numId w:val="8"/>
        </w:numPr>
        <w:ind w:left="360"/>
        <w:jc w:val="both"/>
        <w:rPr>
          <w:rFonts w:ascii="Arial" w:hAnsi="Arial" w:cs="Arial"/>
          <w:lang w:val="es-CR"/>
        </w:rPr>
      </w:pPr>
      <w:r w:rsidRPr="00E435A4">
        <w:rPr>
          <w:rFonts w:ascii="Arial" w:hAnsi="Arial" w:cs="Arial"/>
          <w:lang w:val="es-CR"/>
        </w:rPr>
        <w:t>Las “Normas Técnicas sobre Presupuesto Público” (NTPP), publicadas en la Gaceta No. 64 del 29 de marzo de 2012, indican:</w:t>
      </w:r>
    </w:p>
    <w:p w:rsidR="00E435A4" w:rsidRPr="00E435A4" w:rsidRDefault="00E435A4" w:rsidP="00E435A4">
      <w:pPr>
        <w:ind w:left="360"/>
        <w:jc w:val="both"/>
        <w:rPr>
          <w:rFonts w:ascii="Arial" w:hAnsi="Arial" w:cs="Arial"/>
          <w:sz w:val="22"/>
          <w:szCs w:val="22"/>
          <w:lang w:val="es-CR"/>
        </w:rPr>
      </w:pPr>
    </w:p>
    <w:p w:rsidR="00E435A4" w:rsidRPr="00E435A4" w:rsidRDefault="00E435A4" w:rsidP="00E435A4">
      <w:pPr>
        <w:ind w:left="1418" w:right="689" w:hanging="670"/>
        <w:jc w:val="both"/>
        <w:rPr>
          <w:rFonts w:ascii="Arial" w:hAnsi="Arial" w:cs="Arial"/>
          <w:i/>
          <w:iCs/>
          <w:sz w:val="22"/>
          <w:szCs w:val="22"/>
          <w:lang w:val="es-CR"/>
        </w:rPr>
      </w:pPr>
      <w:r w:rsidRPr="00E435A4">
        <w:rPr>
          <w:rFonts w:ascii="Arial" w:hAnsi="Arial" w:cs="Arial"/>
          <w:i/>
          <w:iCs/>
          <w:sz w:val="22"/>
          <w:szCs w:val="22"/>
          <w:lang w:val="es-CR"/>
        </w:rPr>
        <w:t>“...</w:t>
      </w:r>
    </w:p>
    <w:p w:rsidR="00E435A4" w:rsidRPr="00E435A4" w:rsidRDefault="00E435A4" w:rsidP="00E435A4">
      <w:pPr>
        <w:ind w:left="1418" w:right="689" w:hanging="670"/>
        <w:jc w:val="both"/>
        <w:rPr>
          <w:rFonts w:ascii="Arial" w:hAnsi="Arial" w:cs="Arial"/>
          <w:i/>
          <w:iCs/>
          <w:sz w:val="22"/>
          <w:szCs w:val="22"/>
          <w:lang w:val="es-CR"/>
        </w:rPr>
      </w:pPr>
      <w:r w:rsidRPr="00E435A4">
        <w:rPr>
          <w:rFonts w:ascii="Arial" w:hAnsi="Arial" w:cs="Arial"/>
          <w:i/>
          <w:iCs/>
          <w:sz w:val="22"/>
          <w:szCs w:val="22"/>
          <w:lang w:val="es-CR"/>
        </w:rPr>
        <w:t>4.3.16 Liquidación presupuestaria. Es el cierre de las cuentas del presupuesto institucional que se debe hacer al terminar el ejercicio económico, con el cual se obtiene el resultado global de la ejecución del presupuesto, tanto a nivel financiero -déficit o superávit-como de las realizaciones de los objetivos y metas previamente establecidos para cada uno de los programas presupuestarios.</w:t>
      </w:r>
    </w:p>
    <w:p w:rsidR="00E435A4" w:rsidRPr="00E435A4" w:rsidRDefault="00E435A4" w:rsidP="00E435A4">
      <w:pPr>
        <w:ind w:left="742" w:right="689" w:firstLine="6"/>
        <w:jc w:val="both"/>
        <w:rPr>
          <w:rFonts w:ascii="Arial" w:hAnsi="Arial" w:cs="Arial"/>
          <w:sz w:val="22"/>
          <w:szCs w:val="22"/>
          <w:lang w:val="es-CR"/>
        </w:rPr>
      </w:pPr>
      <w:r w:rsidRPr="00E435A4">
        <w:rPr>
          <w:rFonts w:ascii="Arial" w:hAnsi="Arial" w:cs="Arial"/>
          <w:sz w:val="22"/>
          <w:szCs w:val="22"/>
          <w:lang w:val="es-CR"/>
        </w:rPr>
        <w:t>...</w:t>
      </w:r>
    </w:p>
    <w:p w:rsidR="00E435A4" w:rsidRPr="00E435A4" w:rsidRDefault="00E435A4" w:rsidP="00E435A4">
      <w:pPr>
        <w:ind w:left="742" w:right="689" w:firstLine="6"/>
        <w:jc w:val="both"/>
        <w:rPr>
          <w:rFonts w:ascii="Arial" w:hAnsi="Arial" w:cs="Arial"/>
          <w:i/>
          <w:iCs/>
          <w:sz w:val="22"/>
          <w:szCs w:val="22"/>
          <w:lang w:val="es-CR"/>
        </w:rPr>
      </w:pPr>
    </w:p>
    <w:p w:rsidR="00E435A4" w:rsidRPr="00E435A4" w:rsidRDefault="00E435A4" w:rsidP="00E435A4">
      <w:pPr>
        <w:ind w:left="1418" w:right="689" w:hanging="670"/>
        <w:jc w:val="both"/>
        <w:rPr>
          <w:rFonts w:ascii="Arial" w:hAnsi="Arial" w:cs="Arial"/>
          <w:sz w:val="22"/>
          <w:szCs w:val="22"/>
          <w:lang w:val="es-CR"/>
        </w:rPr>
      </w:pPr>
      <w:r w:rsidRPr="00E435A4">
        <w:rPr>
          <w:rFonts w:ascii="Arial" w:hAnsi="Arial" w:cs="Arial"/>
          <w:i/>
          <w:iCs/>
          <w:sz w:val="22"/>
          <w:szCs w:val="22"/>
          <w:lang w:val="es-CR"/>
        </w:rPr>
        <w:t>4.3.19 Información sobre la liquidación presupuestaria que debe suministrarse a la Contraloría General y documentación adjunta.</w:t>
      </w:r>
    </w:p>
    <w:p w:rsidR="00E435A4" w:rsidRPr="00E435A4" w:rsidRDefault="00E435A4" w:rsidP="00E435A4">
      <w:pPr>
        <w:ind w:left="1418" w:right="689" w:hanging="670"/>
        <w:jc w:val="both"/>
        <w:rPr>
          <w:rFonts w:ascii="Arial" w:hAnsi="Arial" w:cs="Arial"/>
          <w:sz w:val="22"/>
          <w:szCs w:val="22"/>
          <w:lang w:val="es-CR"/>
        </w:rPr>
      </w:pPr>
      <w:r w:rsidRPr="00E435A4">
        <w:rPr>
          <w:rFonts w:ascii="Arial" w:hAnsi="Arial" w:cs="Arial"/>
          <w:sz w:val="22"/>
          <w:szCs w:val="22"/>
          <w:lang w:val="es-CR"/>
        </w:rPr>
        <w:t>...</w:t>
      </w:r>
    </w:p>
    <w:p w:rsidR="00E435A4" w:rsidRPr="00E435A4" w:rsidRDefault="00E435A4" w:rsidP="00E435A4">
      <w:pPr>
        <w:ind w:left="993" w:right="689" w:hanging="245"/>
        <w:jc w:val="both"/>
        <w:rPr>
          <w:rFonts w:ascii="Arial" w:hAnsi="Arial" w:cs="Arial"/>
          <w:i/>
          <w:iCs/>
          <w:sz w:val="22"/>
          <w:szCs w:val="22"/>
          <w:lang w:val="es-CR"/>
        </w:rPr>
      </w:pPr>
      <w:r w:rsidRPr="00E435A4">
        <w:rPr>
          <w:rFonts w:ascii="Arial" w:hAnsi="Arial" w:cs="Arial"/>
          <w:i/>
          <w:iCs/>
          <w:sz w:val="22"/>
          <w:szCs w:val="22"/>
          <w:lang w:val="es-CR"/>
        </w:rPr>
        <w:lastRenderedPageBreak/>
        <w:t>ii. Referencia del acuerdo mediante el cual el jerarca conoció o aprobó según corresponda la liquidación presupuestaria…</w:t>
      </w:r>
    </w:p>
    <w:p w:rsidR="00E435A4" w:rsidRPr="00E435A4" w:rsidRDefault="00E435A4" w:rsidP="00E435A4">
      <w:pPr>
        <w:ind w:left="993" w:right="689" w:hanging="245"/>
        <w:jc w:val="both"/>
        <w:rPr>
          <w:rFonts w:ascii="Arial" w:hAnsi="Arial" w:cs="Arial"/>
          <w:i/>
          <w:iCs/>
          <w:sz w:val="22"/>
          <w:szCs w:val="22"/>
          <w:lang w:val="es-CR"/>
        </w:rPr>
      </w:pPr>
      <w:r w:rsidRPr="00E435A4">
        <w:rPr>
          <w:rFonts w:ascii="Arial" w:hAnsi="Arial" w:cs="Arial"/>
          <w:i/>
          <w:iCs/>
          <w:sz w:val="22"/>
          <w:szCs w:val="22"/>
          <w:lang w:val="es-CR"/>
        </w:rPr>
        <w:t>…</w:t>
      </w:r>
    </w:p>
    <w:p w:rsidR="00E435A4" w:rsidRPr="00E435A4" w:rsidRDefault="00E435A4" w:rsidP="00E435A4">
      <w:pPr>
        <w:ind w:left="993" w:right="689" w:hanging="245"/>
        <w:jc w:val="both"/>
        <w:rPr>
          <w:rFonts w:ascii="Arial" w:hAnsi="Arial" w:cs="Arial"/>
          <w:i/>
          <w:iCs/>
          <w:sz w:val="22"/>
          <w:szCs w:val="22"/>
          <w:lang w:val="es-CR"/>
        </w:rPr>
      </w:pPr>
    </w:p>
    <w:p w:rsidR="00E435A4" w:rsidRPr="00E435A4" w:rsidRDefault="00E435A4" w:rsidP="00E435A4">
      <w:pPr>
        <w:ind w:left="993" w:right="689" w:hanging="245"/>
        <w:jc w:val="both"/>
        <w:rPr>
          <w:rFonts w:ascii="Arial" w:hAnsi="Arial" w:cs="Arial"/>
          <w:i/>
          <w:iCs/>
          <w:sz w:val="22"/>
          <w:szCs w:val="22"/>
          <w:lang w:val="es-CR"/>
        </w:rPr>
      </w:pPr>
      <w:r w:rsidRPr="00E435A4">
        <w:rPr>
          <w:rFonts w:ascii="Arial" w:hAnsi="Arial" w:cs="Arial"/>
          <w:i/>
          <w:iCs/>
          <w:sz w:val="22"/>
          <w:szCs w:val="22"/>
          <w:lang w:val="es-CR"/>
        </w:rPr>
        <w:t>4.5.6. Información sobre la evaluación presupuestaria que debe suministrarse a la Contraloría General de la República y documentación adjunta…</w:t>
      </w:r>
    </w:p>
    <w:p w:rsidR="00E435A4" w:rsidRPr="00E435A4" w:rsidRDefault="00E435A4" w:rsidP="00E435A4">
      <w:pPr>
        <w:ind w:left="742" w:right="689" w:firstLine="6"/>
        <w:jc w:val="both"/>
        <w:rPr>
          <w:rFonts w:ascii="Arial" w:hAnsi="Arial" w:cs="Arial"/>
          <w:sz w:val="22"/>
          <w:szCs w:val="22"/>
          <w:lang w:val="es-CR"/>
        </w:rPr>
      </w:pPr>
      <w:r w:rsidRPr="00E435A4">
        <w:rPr>
          <w:rFonts w:ascii="Arial" w:hAnsi="Arial" w:cs="Arial"/>
          <w:sz w:val="22"/>
          <w:szCs w:val="22"/>
          <w:lang w:val="es-CR"/>
        </w:rPr>
        <w:t>...</w:t>
      </w:r>
    </w:p>
    <w:p w:rsidR="00E435A4" w:rsidRPr="00E435A4" w:rsidRDefault="00E435A4" w:rsidP="00E435A4">
      <w:pPr>
        <w:ind w:left="993" w:right="689" w:hanging="245"/>
        <w:jc w:val="both"/>
        <w:rPr>
          <w:rFonts w:ascii="Arial" w:hAnsi="Arial" w:cs="Arial"/>
          <w:i/>
          <w:iCs/>
          <w:sz w:val="22"/>
          <w:szCs w:val="22"/>
          <w:lang w:val="es-CR"/>
        </w:rPr>
      </w:pPr>
    </w:p>
    <w:p w:rsidR="00E435A4" w:rsidRPr="00E435A4" w:rsidRDefault="00E435A4" w:rsidP="00E435A4">
      <w:pPr>
        <w:ind w:left="993" w:right="689" w:hanging="245"/>
        <w:jc w:val="both"/>
        <w:rPr>
          <w:rFonts w:ascii="Arial" w:hAnsi="Arial" w:cs="Arial"/>
          <w:i/>
          <w:iCs/>
          <w:sz w:val="22"/>
          <w:szCs w:val="22"/>
          <w:lang w:val="es-CR"/>
        </w:rPr>
      </w:pPr>
      <w:r w:rsidRPr="00E435A4">
        <w:rPr>
          <w:rFonts w:ascii="Arial" w:hAnsi="Arial" w:cs="Arial"/>
          <w:i/>
          <w:iCs/>
          <w:sz w:val="22"/>
          <w:szCs w:val="22"/>
          <w:lang w:val="es-CR"/>
        </w:rPr>
        <w:t xml:space="preserve">b) Información sobre la evaluación presupuestaria. </w:t>
      </w:r>
    </w:p>
    <w:p w:rsidR="00E435A4" w:rsidRPr="00E435A4" w:rsidRDefault="00E435A4" w:rsidP="00E435A4">
      <w:pPr>
        <w:ind w:left="742" w:right="689" w:firstLine="6"/>
        <w:jc w:val="both"/>
        <w:rPr>
          <w:rFonts w:ascii="Arial" w:hAnsi="Arial" w:cs="Arial"/>
          <w:sz w:val="22"/>
          <w:szCs w:val="22"/>
          <w:lang w:val="es-CR"/>
        </w:rPr>
      </w:pPr>
      <w:r w:rsidRPr="00E435A4">
        <w:rPr>
          <w:rFonts w:ascii="Arial" w:hAnsi="Arial" w:cs="Arial"/>
          <w:sz w:val="22"/>
          <w:szCs w:val="22"/>
          <w:lang w:val="es-CR"/>
        </w:rPr>
        <w:t>...</w:t>
      </w:r>
    </w:p>
    <w:p w:rsidR="00E435A4" w:rsidRPr="00E435A4" w:rsidRDefault="00E435A4" w:rsidP="00E435A4">
      <w:pPr>
        <w:ind w:left="993" w:right="689" w:hanging="245"/>
        <w:jc w:val="both"/>
        <w:rPr>
          <w:rFonts w:ascii="Arial" w:hAnsi="Arial" w:cs="Arial"/>
          <w:i/>
          <w:iCs/>
          <w:sz w:val="22"/>
          <w:szCs w:val="22"/>
          <w:lang w:val="es-CR"/>
        </w:rPr>
      </w:pPr>
      <w:r w:rsidRPr="00E435A4">
        <w:rPr>
          <w:rFonts w:ascii="Arial" w:hAnsi="Arial" w:cs="Arial"/>
          <w:i/>
          <w:iCs/>
          <w:sz w:val="22"/>
          <w:szCs w:val="22"/>
          <w:lang w:val="es-CR"/>
        </w:rPr>
        <w:t>ii. El resultado de la ejecución presupuestaria parcial o final -superávit o déficit-. En caso de que el resultado al final del año fuera un déficit, debe elaborarse un plan de amortización, el cual debe ser aprobado por el jerarca.</w:t>
      </w:r>
    </w:p>
    <w:p w:rsidR="00E435A4" w:rsidRPr="00E435A4" w:rsidRDefault="00E435A4" w:rsidP="00E435A4">
      <w:pPr>
        <w:ind w:left="993" w:right="689" w:hanging="245"/>
        <w:jc w:val="both"/>
        <w:rPr>
          <w:rFonts w:ascii="Arial" w:hAnsi="Arial" w:cs="Arial"/>
          <w:i/>
          <w:iCs/>
          <w:sz w:val="22"/>
          <w:szCs w:val="22"/>
          <w:lang w:val="es-CR"/>
        </w:rPr>
      </w:pPr>
      <w:r w:rsidRPr="00E435A4">
        <w:rPr>
          <w:rFonts w:ascii="Arial" w:hAnsi="Arial" w:cs="Arial"/>
          <w:sz w:val="22"/>
          <w:szCs w:val="22"/>
          <w:lang w:val="es-CR"/>
        </w:rPr>
        <w:t>…”</w:t>
      </w:r>
    </w:p>
    <w:p w:rsidR="00E435A4" w:rsidRPr="00E435A4" w:rsidRDefault="00E435A4" w:rsidP="00E435A4">
      <w:pPr>
        <w:spacing w:line="259" w:lineRule="auto"/>
        <w:ind w:left="742" w:right="689" w:firstLine="6"/>
        <w:jc w:val="both"/>
        <w:rPr>
          <w:rFonts w:ascii="Arial" w:hAnsi="Arial" w:cs="Arial"/>
          <w:i/>
          <w:iCs/>
          <w:sz w:val="22"/>
          <w:szCs w:val="22"/>
          <w:lang w:val="es-CR"/>
        </w:rPr>
      </w:pPr>
    </w:p>
    <w:p w:rsidR="00E435A4" w:rsidRPr="00E435A4" w:rsidRDefault="00E435A4" w:rsidP="00E435A4">
      <w:pPr>
        <w:numPr>
          <w:ilvl w:val="0"/>
          <w:numId w:val="8"/>
        </w:numPr>
        <w:ind w:left="360"/>
        <w:jc w:val="both"/>
        <w:rPr>
          <w:lang w:val="es-CR"/>
        </w:rPr>
      </w:pPr>
      <w:r w:rsidRPr="00E435A4">
        <w:rPr>
          <w:rFonts w:ascii="Arial" w:hAnsi="Arial" w:cs="Arial"/>
          <w:lang w:val="es-CR"/>
        </w:rPr>
        <w:t xml:space="preserve">En la Sesión Ordinaria No. 3106, Artículo 11, del 13 de febrero de 2019, el Consejo Institucional da por conocido el “Informe de Liquidación Presupuestaria al 31 de diciembre de 2018”, indicándose ingresos totales de ¢76,805,662.15 miles, egresos por ¢68,742,978.34 miles, y un superávit total de ¢8,062,683.82 miles, </w:t>
      </w:r>
      <w:r w:rsidRPr="00E435A4">
        <w:rPr>
          <w:rFonts w:ascii="Arial" w:hAnsi="Arial" w:cs="Arial"/>
          <w:lang w:val="es"/>
        </w:rPr>
        <w:t>compuesto por ¢6,299,162.50 miles de superávit libre y ¢1,763,521.32 miles de superávit específico.</w:t>
      </w:r>
    </w:p>
    <w:p w:rsidR="00E435A4" w:rsidRPr="00E435A4" w:rsidRDefault="00E435A4" w:rsidP="00E435A4">
      <w:pPr>
        <w:spacing w:line="259" w:lineRule="auto"/>
        <w:jc w:val="both"/>
        <w:rPr>
          <w:lang w:val="es-CR"/>
        </w:rPr>
      </w:pPr>
    </w:p>
    <w:p w:rsidR="00E435A4" w:rsidRPr="00E435A4" w:rsidRDefault="00E435A4" w:rsidP="00E435A4">
      <w:pPr>
        <w:numPr>
          <w:ilvl w:val="0"/>
          <w:numId w:val="8"/>
        </w:numPr>
        <w:ind w:left="360"/>
        <w:jc w:val="both"/>
        <w:rPr>
          <w:lang w:val="es"/>
        </w:rPr>
      </w:pPr>
      <w:r w:rsidRPr="00E435A4">
        <w:rPr>
          <w:rFonts w:ascii="Arial" w:hAnsi="Arial" w:cs="Arial"/>
          <w:lang w:val="es"/>
        </w:rPr>
        <w:t>Mediante oficio</w:t>
      </w:r>
      <w:r w:rsidRPr="00E435A4">
        <w:rPr>
          <w:rFonts w:ascii="Arial" w:hAnsi="Arial" w:cs="Arial"/>
          <w:lang w:val="es-CR"/>
        </w:rPr>
        <w:t xml:space="preserve"> R-916-2019 de fecha 22 de agosto de 2019</w:t>
      </w:r>
      <w:r w:rsidRPr="00E435A4">
        <w:rPr>
          <w:rFonts w:ascii="Arial" w:hAnsi="Arial" w:cs="Arial"/>
          <w:lang w:val="es"/>
        </w:rPr>
        <w:t xml:space="preserve">, el señor Rector Ing. Luis Paulino Méndez Badilla, ha informado al Consejo Institucional, que la Administración ha detectado la necesidad de ajustar el “Informe de Liquidación Presupuestaria 2018”. Se desprende del </w:t>
      </w:r>
      <w:r w:rsidRPr="00E435A4">
        <w:rPr>
          <w:rFonts w:ascii="Arial" w:hAnsi="Arial" w:cs="Arial"/>
          <w:lang w:val="es-CR"/>
        </w:rPr>
        <w:t>oficio VAD-468-2019, mismo que</w:t>
      </w:r>
      <w:r w:rsidRPr="00E435A4">
        <w:rPr>
          <w:rFonts w:ascii="Arial" w:hAnsi="Arial" w:cs="Arial"/>
          <w:lang w:val="es"/>
        </w:rPr>
        <w:t xml:space="preserve"> se presenta anexo para mayor amplitud, que los elementos a considerar en la Liquidación Presupuestaria 2018 son: </w:t>
      </w:r>
    </w:p>
    <w:p w:rsidR="00E435A4" w:rsidRPr="00E435A4" w:rsidRDefault="00E435A4" w:rsidP="00E435A4">
      <w:pPr>
        <w:spacing w:line="259" w:lineRule="auto"/>
        <w:ind w:left="708"/>
        <w:rPr>
          <w:lang w:val="es-CR"/>
        </w:rPr>
      </w:pPr>
    </w:p>
    <w:p w:rsidR="00E435A4" w:rsidRPr="00E435A4" w:rsidRDefault="00E435A4" w:rsidP="00E435A4">
      <w:pPr>
        <w:spacing w:line="259" w:lineRule="auto"/>
        <w:ind w:left="742" w:right="689" w:firstLine="6"/>
        <w:jc w:val="both"/>
        <w:rPr>
          <w:rFonts w:ascii="Arial" w:eastAsia="Arial" w:hAnsi="Arial" w:cs="Arial"/>
          <w:i/>
          <w:iCs/>
          <w:sz w:val="22"/>
          <w:szCs w:val="22"/>
          <w:lang w:val="es-CR"/>
        </w:rPr>
      </w:pPr>
      <w:r w:rsidRPr="00E435A4">
        <w:rPr>
          <w:rFonts w:ascii="Arial" w:eastAsia="Arial" w:hAnsi="Arial" w:cs="Arial"/>
          <w:i/>
          <w:iCs/>
          <w:sz w:val="22"/>
          <w:szCs w:val="22"/>
          <w:lang w:val="es-CR"/>
        </w:rPr>
        <w:t>“...</w:t>
      </w:r>
    </w:p>
    <w:p w:rsidR="00E435A4" w:rsidRPr="00E435A4" w:rsidRDefault="00E435A4" w:rsidP="00E435A4">
      <w:pPr>
        <w:spacing w:line="259" w:lineRule="auto"/>
        <w:ind w:left="742" w:right="689" w:firstLine="6"/>
        <w:jc w:val="both"/>
        <w:rPr>
          <w:rFonts w:ascii="Arial" w:eastAsia="Arial" w:hAnsi="Arial" w:cs="Arial"/>
          <w:i/>
          <w:iCs/>
          <w:sz w:val="22"/>
          <w:szCs w:val="22"/>
          <w:lang w:val="es-CR"/>
        </w:rPr>
      </w:pPr>
      <w:r w:rsidRPr="00E435A4">
        <w:rPr>
          <w:rFonts w:ascii="Arial" w:eastAsia="Arial" w:hAnsi="Arial" w:cs="Arial"/>
          <w:i/>
          <w:iCs/>
          <w:sz w:val="22"/>
          <w:szCs w:val="22"/>
          <w:lang w:val="es-CR"/>
        </w:rPr>
        <w:t>a) ...</w:t>
      </w:r>
    </w:p>
    <w:p w:rsidR="00E435A4" w:rsidRPr="00E435A4" w:rsidRDefault="00E435A4" w:rsidP="00E435A4">
      <w:pPr>
        <w:spacing w:line="259" w:lineRule="auto"/>
        <w:ind w:left="742" w:right="689" w:firstLine="6"/>
        <w:jc w:val="both"/>
        <w:rPr>
          <w:rFonts w:ascii="Arial" w:eastAsia="Arial" w:hAnsi="Arial" w:cs="Arial"/>
          <w:i/>
          <w:iCs/>
          <w:sz w:val="22"/>
          <w:szCs w:val="22"/>
          <w:lang w:val="es-CR"/>
        </w:rPr>
      </w:pPr>
      <w:r w:rsidRPr="00E435A4">
        <w:rPr>
          <w:rFonts w:ascii="Arial" w:eastAsia="Arial" w:hAnsi="Arial" w:cs="Arial"/>
          <w:i/>
          <w:iCs/>
          <w:sz w:val="22"/>
          <w:szCs w:val="22"/>
          <w:lang w:val="es-CR"/>
        </w:rPr>
        <w:t>...se deben reconocer los ingresos adicionales retroactivos relacionados con diferenciales cambiarios por la suma de ¢350,751.25 miles.</w:t>
      </w:r>
    </w:p>
    <w:p w:rsidR="00E435A4" w:rsidRPr="00E435A4" w:rsidRDefault="00E435A4" w:rsidP="00E435A4">
      <w:pPr>
        <w:spacing w:line="259" w:lineRule="auto"/>
        <w:ind w:left="742" w:right="689" w:firstLine="6"/>
        <w:jc w:val="both"/>
        <w:rPr>
          <w:rFonts w:ascii="Arial" w:hAnsi="Arial" w:cs="Arial"/>
          <w:i/>
          <w:iCs/>
          <w:sz w:val="22"/>
          <w:szCs w:val="22"/>
          <w:lang w:val="es-CR"/>
        </w:rPr>
      </w:pPr>
      <w:r w:rsidRPr="00E435A4">
        <w:rPr>
          <w:rFonts w:ascii="Arial" w:hAnsi="Arial" w:cs="Arial"/>
          <w:i/>
          <w:iCs/>
          <w:sz w:val="22"/>
          <w:szCs w:val="22"/>
          <w:lang w:val="es-CR"/>
        </w:rPr>
        <w:t>…</w:t>
      </w:r>
    </w:p>
    <w:p w:rsidR="00E435A4" w:rsidRPr="00E435A4" w:rsidRDefault="00E435A4" w:rsidP="00E435A4">
      <w:pPr>
        <w:spacing w:line="259" w:lineRule="auto"/>
        <w:ind w:left="706"/>
        <w:jc w:val="both"/>
        <w:rPr>
          <w:rFonts w:ascii="Arial" w:eastAsia="Arial" w:hAnsi="Arial" w:cs="Arial"/>
          <w:i/>
          <w:iCs/>
          <w:sz w:val="22"/>
          <w:szCs w:val="22"/>
          <w:lang w:val="es-CR"/>
        </w:rPr>
      </w:pPr>
      <w:r w:rsidRPr="00E435A4">
        <w:rPr>
          <w:rFonts w:ascii="Arial" w:eastAsia="Arial" w:hAnsi="Arial" w:cs="Arial"/>
          <w:i/>
          <w:iCs/>
          <w:sz w:val="22"/>
          <w:szCs w:val="22"/>
          <w:lang w:val="es-CR"/>
        </w:rPr>
        <w:t>b) …</w:t>
      </w:r>
    </w:p>
    <w:p w:rsidR="00E435A4" w:rsidRPr="00E435A4" w:rsidRDefault="00E435A4" w:rsidP="00E435A4">
      <w:pPr>
        <w:spacing w:line="259" w:lineRule="auto"/>
        <w:ind w:left="706"/>
        <w:jc w:val="both"/>
        <w:rPr>
          <w:rFonts w:ascii="Arial" w:eastAsia="Arial" w:hAnsi="Arial" w:cs="Arial"/>
          <w:i/>
          <w:iCs/>
          <w:sz w:val="22"/>
          <w:szCs w:val="22"/>
          <w:lang w:val="es-CR"/>
        </w:rPr>
      </w:pPr>
      <w:r w:rsidRPr="00E435A4">
        <w:rPr>
          <w:rFonts w:ascii="Arial" w:eastAsia="Arial" w:hAnsi="Arial" w:cs="Arial"/>
          <w:i/>
          <w:iCs/>
          <w:sz w:val="22"/>
          <w:szCs w:val="22"/>
          <w:lang w:val="es-CR"/>
        </w:rPr>
        <w:t>...se determinó a nivel de Ingresos de Financiamiento, un déficit operativo por un monto de ¢521,912.79 miles, en virtud de que el Banco Popular, ante un cuestionamiento del Banco Central, retuvo los fondos del crédito aprobado para infraestructura institucional, monto que fue asumido por los fondos libres institucionales ya que las obras se habían sometido al proceso de contratación administrativa y estaban en ejecución. Esta situación generó consecuentemente, una disminución del Superávit Libre calculado para el año 2018, lo cual debe ser reclasificado a nivel del Superávit Específico, cambiando la composición de los recursos certificados a nivel de Liquidación 2018.</w:t>
      </w:r>
    </w:p>
    <w:p w:rsidR="00E435A4" w:rsidRPr="00E435A4" w:rsidRDefault="00E435A4" w:rsidP="00E435A4">
      <w:pPr>
        <w:spacing w:line="259" w:lineRule="auto"/>
        <w:ind w:left="706"/>
        <w:jc w:val="both"/>
        <w:rPr>
          <w:rFonts w:ascii="Arial" w:eastAsia="Arial" w:hAnsi="Arial" w:cs="Arial"/>
          <w:i/>
          <w:iCs/>
          <w:sz w:val="22"/>
          <w:szCs w:val="22"/>
          <w:lang w:val="es-CR"/>
        </w:rPr>
      </w:pPr>
      <w:r w:rsidRPr="00E435A4">
        <w:rPr>
          <w:rFonts w:ascii="Arial" w:eastAsia="Arial" w:hAnsi="Arial" w:cs="Arial"/>
          <w:i/>
          <w:iCs/>
          <w:sz w:val="22"/>
          <w:szCs w:val="22"/>
          <w:lang w:val="es-CR"/>
        </w:rPr>
        <w:t>…</w:t>
      </w:r>
    </w:p>
    <w:p w:rsidR="00E435A4" w:rsidRPr="00E435A4" w:rsidRDefault="00E435A4" w:rsidP="00E435A4">
      <w:pPr>
        <w:spacing w:line="259" w:lineRule="auto"/>
        <w:ind w:left="706"/>
        <w:jc w:val="both"/>
        <w:rPr>
          <w:rFonts w:ascii="Arial" w:eastAsia="Arial" w:hAnsi="Arial" w:cs="Arial"/>
          <w:i/>
          <w:iCs/>
          <w:sz w:val="22"/>
          <w:szCs w:val="22"/>
          <w:lang w:val="es-CR"/>
        </w:rPr>
      </w:pPr>
      <w:r w:rsidRPr="00E435A4">
        <w:rPr>
          <w:rFonts w:ascii="Arial" w:eastAsia="Arial" w:hAnsi="Arial" w:cs="Arial"/>
          <w:i/>
          <w:iCs/>
          <w:sz w:val="22"/>
          <w:szCs w:val="22"/>
          <w:lang w:val="es-CR"/>
        </w:rPr>
        <w:t>En este caso, se reconoce este error material y que en su oportunidad se debió solicitar el respectivo aval al Consejo Institucional para hacer el cambio de fuente de financiamiento; sin embargo, dada la dinámica en la ejecución de los proyectos y la cantidad de información que solicitaba el Banco Popular y el Banco Central de Costa Rica para el aval respectivo no se hizo dicha solicitud.</w:t>
      </w:r>
    </w:p>
    <w:p w:rsidR="00E435A4" w:rsidRPr="00E435A4" w:rsidRDefault="00E435A4" w:rsidP="00E435A4">
      <w:pPr>
        <w:spacing w:line="259" w:lineRule="auto"/>
        <w:ind w:left="706"/>
        <w:jc w:val="both"/>
        <w:rPr>
          <w:rFonts w:ascii="Arial" w:eastAsia="Arial" w:hAnsi="Arial" w:cs="Arial"/>
          <w:i/>
          <w:iCs/>
          <w:sz w:val="22"/>
          <w:szCs w:val="22"/>
          <w:lang w:val="es-CR"/>
        </w:rPr>
      </w:pPr>
      <w:r w:rsidRPr="00E435A4">
        <w:rPr>
          <w:rFonts w:ascii="Arial" w:eastAsia="Arial" w:hAnsi="Arial" w:cs="Arial"/>
          <w:i/>
          <w:iCs/>
          <w:sz w:val="22"/>
          <w:szCs w:val="22"/>
          <w:lang w:val="es-CR"/>
        </w:rPr>
        <w:t>…”</w:t>
      </w:r>
    </w:p>
    <w:p w:rsidR="00E435A4" w:rsidRPr="00E435A4" w:rsidRDefault="00E435A4" w:rsidP="00E435A4">
      <w:pPr>
        <w:spacing w:line="259" w:lineRule="auto"/>
        <w:ind w:left="706"/>
        <w:jc w:val="both"/>
        <w:rPr>
          <w:rFonts w:ascii="Arial" w:eastAsia="Arial" w:hAnsi="Arial" w:cs="Arial"/>
          <w:i/>
          <w:iCs/>
          <w:sz w:val="22"/>
          <w:szCs w:val="22"/>
          <w:lang w:val="es-CR"/>
        </w:rPr>
      </w:pPr>
    </w:p>
    <w:p w:rsidR="00E435A4" w:rsidRPr="00E435A4" w:rsidRDefault="00E435A4" w:rsidP="00E435A4">
      <w:pPr>
        <w:numPr>
          <w:ilvl w:val="0"/>
          <w:numId w:val="8"/>
        </w:numPr>
        <w:ind w:left="360"/>
        <w:jc w:val="both"/>
        <w:rPr>
          <w:lang w:val="es-CR"/>
        </w:rPr>
      </w:pPr>
      <w:r w:rsidRPr="00E435A4">
        <w:rPr>
          <w:rFonts w:ascii="Arial" w:hAnsi="Arial" w:cs="Arial"/>
          <w:lang w:val="es-CR"/>
        </w:rPr>
        <w:lastRenderedPageBreak/>
        <w:t>Se solicita el respectivo ajuste en la Liquidación Presupuestaria 2018, por el orden de 350,751.25 miles -incrementando directamente los recursos del Plan de Mejoramiento Institucional-, ingresos totales de 77,156,413.41 miles, egresos por 68,742,978.34 miles, y un superávit total de 8,413,435.08 miles (</w:t>
      </w:r>
      <w:r w:rsidRPr="00E435A4">
        <w:rPr>
          <w:rFonts w:ascii="Arial" w:hAnsi="Arial" w:cs="Arial"/>
          <w:lang w:val="es"/>
        </w:rPr>
        <w:t>compuesto por ¢6,870,041.74 miles de superávit libre y ¢1,543,393.34 miles de superávit específico);</w:t>
      </w:r>
      <w:r w:rsidRPr="00E435A4">
        <w:rPr>
          <w:rFonts w:ascii="Arial" w:hAnsi="Arial" w:cs="Arial"/>
          <w:lang w:val="es-CR"/>
        </w:rPr>
        <w:t xml:space="preserve"> según se observa en la tabla siguiente:</w:t>
      </w:r>
    </w:p>
    <w:p w:rsidR="00E435A4" w:rsidRPr="00E435A4" w:rsidRDefault="00E435A4" w:rsidP="00E435A4">
      <w:pPr>
        <w:ind w:left="742" w:right="689" w:firstLine="6"/>
        <w:jc w:val="both"/>
        <w:rPr>
          <w:rFonts w:ascii="Arial" w:eastAsia="Arial" w:hAnsi="Arial" w:cs="Arial"/>
          <w:sz w:val="22"/>
          <w:szCs w:val="22"/>
          <w:lang w:val="es-CR"/>
        </w:rPr>
      </w:pPr>
    </w:p>
    <w:p w:rsidR="00E435A4" w:rsidRPr="00E435A4" w:rsidRDefault="00E435A4" w:rsidP="00E435A4">
      <w:pPr>
        <w:numPr>
          <w:ilvl w:val="0"/>
          <w:numId w:val="8"/>
        </w:numPr>
        <w:spacing w:line="259" w:lineRule="auto"/>
        <w:ind w:left="360"/>
        <w:jc w:val="both"/>
        <w:rPr>
          <w:rFonts w:ascii="Arial" w:hAnsi="Arial" w:cs="Arial"/>
          <w:lang w:val="es"/>
        </w:rPr>
      </w:pPr>
      <w:r w:rsidRPr="00E435A4">
        <w:rPr>
          <w:rFonts w:ascii="Arial" w:hAnsi="Arial" w:cs="Arial"/>
          <w:lang w:val="es"/>
        </w:rPr>
        <w:t>Adjunto al oficio R-916-2019, el señor Rector ha presentado una nueva versión del “</w:t>
      </w:r>
      <w:r w:rsidRPr="00E435A4">
        <w:rPr>
          <w:rFonts w:ascii="Arial" w:hAnsi="Arial" w:cs="Arial"/>
          <w:lang w:val="es-CR"/>
        </w:rPr>
        <w:t>Informe de Liquidación Presupuestaria al 31 de diciembre de 2018”, que contempla los ajustes necesarios para que la información alcance</w:t>
      </w:r>
      <w:r w:rsidRPr="00E435A4">
        <w:rPr>
          <w:rFonts w:ascii="Arial" w:hAnsi="Arial" w:cs="Arial"/>
          <w:lang w:val="es"/>
        </w:rPr>
        <w:t xml:space="preserve"> la precisión que este tipo de informes debe mostrar, de acuerdo con lo dispuesto en las </w:t>
      </w:r>
      <w:r w:rsidRPr="00E435A4">
        <w:rPr>
          <w:rFonts w:ascii="Arial" w:hAnsi="Arial" w:cs="Arial"/>
          <w:lang w:val="es-CR"/>
        </w:rPr>
        <w:t>NTPP.</w:t>
      </w:r>
    </w:p>
    <w:p w:rsidR="00E435A4" w:rsidRPr="00E435A4" w:rsidRDefault="00E435A4" w:rsidP="00E435A4">
      <w:pPr>
        <w:spacing w:line="259" w:lineRule="auto"/>
        <w:ind w:left="360"/>
        <w:jc w:val="both"/>
        <w:rPr>
          <w:rFonts w:ascii="Arial" w:hAnsi="Arial" w:cs="Arial"/>
          <w:lang w:val="es"/>
        </w:rPr>
      </w:pPr>
    </w:p>
    <w:p w:rsidR="00E435A4" w:rsidRPr="00E435A4" w:rsidRDefault="00E435A4" w:rsidP="00E435A4">
      <w:pPr>
        <w:numPr>
          <w:ilvl w:val="0"/>
          <w:numId w:val="8"/>
        </w:numPr>
        <w:spacing w:line="259" w:lineRule="auto"/>
        <w:ind w:left="360"/>
        <w:jc w:val="both"/>
        <w:rPr>
          <w:rFonts w:ascii="Arial" w:hAnsi="Arial" w:cs="Arial"/>
          <w:lang w:val="es"/>
        </w:rPr>
      </w:pPr>
      <w:r w:rsidRPr="00E435A4">
        <w:rPr>
          <w:rFonts w:ascii="Arial" w:hAnsi="Arial" w:cs="Arial"/>
          <w:lang w:val="es"/>
        </w:rPr>
        <w:t>Como parte del oficio R-916-2019</w:t>
      </w:r>
      <w:r w:rsidRPr="00E435A4">
        <w:rPr>
          <w:rFonts w:ascii="Arial" w:hAnsi="Arial" w:cs="Arial"/>
          <w:lang w:val="es-CR"/>
        </w:rPr>
        <w:t xml:space="preserve">, el señor Rector ha propuesto como plan de amortización </w:t>
      </w:r>
      <w:r w:rsidRPr="00E435A4">
        <w:rPr>
          <w:rFonts w:ascii="Arial" w:hAnsi="Arial" w:cs="Arial"/>
        </w:rPr>
        <w:t xml:space="preserve">del déficit de ingreso por concepto del préstamo del Banco Popular; déficit que ascendió a </w:t>
      </w:r>
      <w:r w:rsidRPr="00E435A4">
        <w:rPr>
          <w:rFonts w:ascii="Arial" w:hAnsi="Arial" w:cs="Arial"/>
          <w:lang w:val="es"/>
        </w:rPr>
        <w:t>¢521,912.79 miles</w:t>
      </w:r>
      <w:r w:rsidRPr="00E435A4">
        <w:rPr>
          <w:rFonts w:ascii="Arial" w:hAnsi="Arial" w:cs="Arial"/>
        </w:rPr>
        <w:t xml:space="preserve">, tomar una cantidad de recursos por el mismo monto del superávit libre del ejercicio del 2018, mismo que se aplicará en el segundo Presupuesto Extraordinario 2019. </w:t>
      </w:r>
    </w:p>
    <w:p w:rsidR="00E435A4" w:rsidRPr="00E435A4" w:rsidRDefault="00E435A4" w:rsidP="00E435A4">
      <w:pPr>
        <w:spacing w:line="259" w:lineRule="auto"/>
        <w:jc w:val="both"/>
        <w:rPr>
          <w:rFonts w:ascii="Arial" w:hAnsi="Arial" w:cs="Arial"/>
        </w:rPr>
      </w:pPr>
    </w:p>
    <w:p w:rsidR="00E435A4" w:rsidRPr="00E435A4" w:rsidRDefault="00E435A4" w:rsidP="00E435A4">
      <w:pPr>
        <w:numPr>
          <w:ilvl w:val="0"/>
          <w:numId w:val="8"/>
        </w:numPr>
        <w:spacing w:line="259" w:lineRule="auto"/>
        <w:ind w:left="360"/>
        <w:jc w:val="both"/>
        <w:rPr>
          <w:rFonts w:ascii="Arial" w:hAnsi="Arial" w:cs="Arial"/>
          <w:lang w:val="es"/>
        </w:rPr>
      </w:pPr>
      <w:r w:rsidRPr="00E435A4">
        <w:rPr>
          <w:rFonts w:ascii="Arial" w:hAnsi="Arial" w:cs="Arial"/>
          <w:lang w:val="es"/>
        </w:rPr>
        <w:t>La “Ley de la Administración Financiera de la República y Presupuestos Públicos” (Ley No. 8131) y la “Ley General de Control Interno” (Ley No. 8292), establecen responsabilidades a las Autoridades Institucionales y demás personas funcionarias del Instituto.</w:t>
      </w:r>
      <w:bookmarkStart w:id="1" w:name="up"/>
      <w:bookmarkEnd w:id="1"/>
    </w:p>
    <w:p w:rsidR="00E435A4" w:rsidRPr="00E435A4" w:rsidRDefault="00E435A4" w:rsidP="00E435A4">
      <w:pPr>
        <w:rPr>
          <w:rFonts w:ascii="Arial" w:hAnsi="Arial" w:cs="Arial"/>
          <w:b/>
        </w:rPr>
      </w:pPr>
    </w:p>
    <w:p w:rsidR="00E435A4" w:rsidRPr="00E435A4" w:rsidRDefault="00E435A4" w:rsidP="00E435A4">
      <w:pPr>
        <w:rPr>
          <w:rFonts w:ascii="Arial" w:hAnsi="Arial" w:cs="Arial"/>
          <w:b/>
        </w:rPr>
      </w:pPr>
      <w:r w:rsidRPr="00E435A4">
        <w:rPr>
          <w:rFonts w:ascii="Arial" w:hAnsi="Arial" w:cs="Arial"/>
          <w:b/>
        </w:rPr>
        <w:t>CONSIDERANDO QUE:</w:t>
      </w:r>
    </w:p>
    <w:p w:rsidR="00E435A4" w:rsidRPr="00E435A4" w:rsidRDefault="00E435A4" w:rsidP="00E435A4">
      <w:pPr>
        <w:spacing w:line="259" w:lineRule="auto"/>
        <w:jc w:val="both"/>
        <w:rPr>
          <w:color w:val="000000"/>
          <w:lang w:val="es-CR"/>
        </w:rPr>
      </w:pPr>
    </w:p>
    <w:p w:rsidR="00E435A4" w:rsidRPr="00E435A4" w:rsidRDefault="00E435A4" w:rsidP="00E435A4">
      <w:pPr>
        <w:numPr>
          <w:ilvl w:val="0"/>
          <w:numId w:val="18"/>
        </w:numPr>
        <w:spacing w:line="259" w:lineRule="auto"/>
        <w:ind w:left="360"/>
        <w:jc w:val="both"/>
        <w:rPr>
          <w:lang w:val="es-CR"/>
        </w:rPr>
      </w:pPr>
      <w:r w:rsidRPr="00E435A4">
        <w:rPr>
          <w:rFonts w:ascii="Arial" w:hAnsi="Arial" w:cs="Arial"/>
          <w:lang w:val="es-CR"/>
        </w:rPr>
        <w:t>La Comisión de Planificación y Administración brindó audiencia en la reunión No. 827-2019, al Dr. Humberto Villalta Solano, Vicerrector de Administración, a la MAE. Silvia Watson Araya, Directora del</w:t>
      </w:r>
      <w:r w:rsidRPr="00E435A4">
        <w:rPr>
          <w:rFonts w:ascii="Arial" w:hAnsi="Arial" w:cs="Arial"/>
          <w:lang w:val="es"/>
        </w:rPr>
        <w:t xml:space="preserve"> </w:t>
      </w:r>
      <w:r w:rsidRPr="00E435A4">
        <w:rPr>
          <w:rFonts w:ascii="Arial" w:hAnsi="Arial" w:cs="Arial"/>
          <w:lang w:val="es-CR"/>
        </w:rPr>
        <w:t xml:space="preserve">Departamento Financiero Contable y al MAE. Johnny Masís Siles, Coordinador de la Unidad de Formulación y Presupuesto, para ahondar en el análisis, la viabilidad y las justificantes de los ajustes que requiere el “Informe de Liquidación Presupuestaria al 31 de diciembre de 2018”.  </w:t>
      </w:r>
    </w:p>
    <w:p w:rsidR="00E435A4" w:rsidRPr="00E435A4" w:rsidRDefault="00E435A4" w:rsidP="00E435A4">
      <w:pPr>
        <w:spacing w:line="259" w:lineRule="auto"/>
        <w:ind w:left="360"/>
        <w:jc w:val="both"/>
        <w:rPr>
          <w:lang w:val="es-CR"/>
        </w:rPr>
      </w:pPr>
    </w:p>
    <w:p w:rsidR="00E435A4" w:rsidRPr="00E435A4" w:rsidRDefault="00E435A4" w:rsidP="00E435A4">
      <w:pPr>
        <w:numPr>
          <w:ilvl w:val="0"/>
          <w:numId w:val="18"/>
        </w:numPr>
        <w:ind w:left="357" w:hanging="357"/>
        <w:jc w:val="both"/>
        <w:rPr>
          <w:rFonts w:ascii="Arial" w:hAnsi="Arial" w:cs="Arial"/>
          <w:lang w:val="es-CR"/>
        </w:rPr>
      </w:pPr>
      <w:r w:rsidRPr="00E435A4">
        <w:rPr>
          <w:rFonts w:ascii="Arial" w:hAnsi="Arial" w:cs="Arial"/>
          <w:lang w:val="es-CR"/>
        </w:rPr>
        <w:t>La “Liquidación Presupuestaria al 31 de diciembre de 2018”, dada por conocida por el Consejo Institucional mediante el acuerdo de la Sesión Ordinaria No. 3106, Artículo 11, del 13 de febrero de 2019, al no tener incorporados los elementos que señala el señor Rector en el oficio R-916-2019, carece de la precisión que este tipo de informes debe mostrar, de acuerdo con lo dispuesto en las NTPP y no ofrece ni la claridad, ni la oportunidad de la información, a efecto de no generar confusión en los datos y en la exactitud de los montos, lo que podría afectar la toma de decisiones por parte del Consejo Institucional y el uso de la información presupuestaria por parte de los órganos de control y de los demás usuarios de la misma. Por tanto, existe obligación de tomar nota de los ajustes que requiere la “Liquidación Presupuestaria al 31 de diciembre de 2018”.</w:t>
      </w:r>
    </w:p>
    <w:p w:rsidR="00E435A4" w:rsidRPr="00E435A4" w:rsidRDefault="00E435A4" w:rsidP="00E435A4">
      <w:pPr>
        <w:jc w:val="both"/>
        <w:rPr>
          <w:rFonts w:ascii="Arial" w:hAnsi="Arial" w:cs="Arial"/>
          <w:color w:val="7030A0"/>
          <w:lang w:val="es-CR"/>
        </w:rPr>
      </w:pPr>
    </w:p>
    <w:p w:rsidR="00E435A4" w:rsidRPr="00E435A4" w:rsidRDefault="00E435A4" w:rsidP="00E435A4">
      <w:pPr>
        <w:numPr>
          <w:ilvl w:val="0"/>
          <w:numId w:val="18"/>
        </w:numPr>
        <w:ind w:left="357" w:hanging="357"/>
        <w:jc w:val="both"/>
        <w:rPr>
          <w:rFonts w:ascii="Arial" w:hAnsi="Arial" w:cs="Arial"/>
          <w:lang w:val="es-CR"/>
        </w:rPr>
      </w:pPr>
      <w:r w:rsidRPr="00E435A4">
        <w:rPr>
          <w:rFonts w:ascii="Arial" w:hAnsi="Arial" w:cs="Arial"/>
          <w:lang w:val="es-CR"/>
        </w:rPr>
        <w:t xml:space="preserve">Los ajustes que requiere el </w:t>
      </w:r>
      <w:r w:rsidRPr="00E435A4">
        <w:rPr>
          <w:rFonts w:ascii="Arial" w:hAnsi="Arial" w:cs="Arial"/>
          <w:lang w:val="es"/>
        </w:rPr>
        <w:t>“</w:t>
      </w:r>
      <w:r w:rsidRPr="00E435A4">
        <w:rPr>
          <w:rFonts w:ascii="Arial" w:hAnsi="Arial" w:cs="Arial"/>
          <w:lang w:val="es-CR"/>
        </w:rPr>
        <w:t xml:space="preserve">Informe de Liquidación Presupuestaria al 31 de diciembre de 2018”, indicados por el señor Rector en el oficio </w:t>
      </w:r>
      <w:r w:rsidRPr="00E435A4">
        <w:rPr>
          <w:rFonts w:ascii="Arial" w:hAnsi="Arial" w:cs="Arial"/>
          <w:lang w:val="es"/>
        </w:rPr>
        <w:t xml:space="preserve">R-916-2019, se traducen </w:t>
      </w:r>
      <w:r w:rsidRPr="00E435A4">
        <w:rPr>
          <w:rFonts w:ascii="Arial" w:hAnsi="Arial" w:cs="Arial"/>
          <w:lang w:val="es-CR"/>
        </w:rPr>
        <w:t xml:space="preserve">en la omisión de ingresos por diferencial cambiario en los registros de la contabilidad presupuestaria (¢350,751.25 miles), incongruencias en la información </w:t>
      </w:r>
      <w:r w:rsidRPr="00E435A4">
        <w:rPr>
          <w:rFonts w:ascii="Arial" w:hAnsi="Arial" w:cs="Arial"/>
          <w:lang w:val="es-CR"/>
        </w:rPr>
        <w:lastRenderedPageBreak/>
        <w:t xml:space="preserve">financiera con la contabilidad patrimonial y la presupuestaria. Además, se presenta inobservancia de la técnica presupuestaria, al no mostrar el “déficit de operación” en actividades financiadas con recursos específicos (¢521,912.79 miles) y la aplicación de cambio en la fuente de financiamiento para cubrir este déficit, sin la debida aprobación del Consejo Institucional. </w:t>
      </w:r>
    </w:p>
    <w:p w:rsidR="00E435A4" w:rsidRPr="00E435A4" w:rsidRDefault="00E435A4" w:rsidP="00E435A4">
      <w:pPr>
        <w:ind w:left="708"/>
        <w:rPr>
          <w:rFonts w:ascii="Arial" w:hAnsi="Arial" w:cs="Arial"/>
          <w:lang w:val="es-CR"/>
        </w:rPr>
      </w:pPr>
    </w:p>
    <w:p w:rsidR="00E435A4" w:rsidRDefault="00E435A4" w:rsidP="00E435A4">
      <w:pPr>
        <w:numPr>
          <w:ilvl w:val="0"/>
          <w:numId w:val="18"/>
        </w:numPr>
        <w:ind w:left="357" w:hanging="357"/>
        <w:jc w:val="both"/>
        <w:rPr>
          <w:rFonts w:ascii="Arial" w:hAnsi="Arial" w:cs="Arial"/>
          <w:lang w:val="es-CR"/>
        </w:rPr>
      </w:pPr>
      <w:r w:rsidRPr="00E435A4">
        <w:rPr>
          <w:rFonts w:ascii="Arial" w:hAnsi="Arial" w:cs="Arial"/>
          <w:lang w:val="es-CR"/>
        </w:rPr>
        <w:t xml:space="preserve">La liquidación presupuestaria, resultado de la ejecución del presupuesto al 31 de diciembre de cada año, debe mostrar en forma íntegra la situación real del período que se liquida, razón por la que debe reflejar la totalidad de los ingresos recibidos y el total de gastos ejecutados de acuerdo con el origen y la aplicación de recursos aprobados y la fuente de financiamiento establecida. Por tanto, en el caso de que alguna ley, convenio, contrato, actividad o proyecto tenga como resultado “déficit”, así debe ser mostrado en la fuente de financiamiento correspondiente, situación que no se realizó en el documento presentado como </w:t>
      </w:r>
      <w:r w:rsidRPr="00E435A4">
        <w:rPr>
          <w:rFonts w:ascii="Arial" w:hAnsi="Arial" w:cs="Arial"/>
          <w:lang w:val="es"/>
        </w:rPr>
        <w:t>“</w:t>
      </w:r>
      <w:r w:rsidRPr="00E435A4">
        <w:rPr>
          <w:rFonts w:ascii="Arial" w:hAnsi="Arial" w:cs="Arial"/>
          <w:lang w:val="es-CR"/>
        </w:rPr>
        <w:t>Informe de Liquidación Presupuestaria al 31 de diciembre de 2018”, dado por conocido en la Sesión Ordinaria No. 3106, Artículo 11, del 13 de febrero de 2019.</w:t>
      </w:r>
    </w:p>
    <w:p w:rsidR="00E435A4" w:rsidRPr="00E435A4" w:rsidRDefault="00E435A4" w:rsidP="00E435A4">
      <w:pPr>
        <w:jc w:val="both"/>
        <w:rPr>
          <w:rFonts w:ascii="Arial" w:hAnsi="Arial" w:cs="Arial"/>
          <w:lang w:val="es-CR"/>
        </w:rPr>
      </w:pPr>
      <w:r w:rsidRPr="00E435A4">
        <w:rPr>
          <w:noProof/>
          <w:sz w:val="20"/>
          <w:szCs w:val="20"/>
          <w:lang w:val="es-CR" w:eastAsia="es-CR"/>
        </w:rPr>
        <w:drawing>
          <wp:anchor distT="0" distB="0" distL="114300" distR="114300" simplePos="0" relativeHeight="251659264" behindDoc="1" locked="0" layoutInCell="1" allowOverlap="1" wp14:anchorId="138E3ACD" wp14:editId="527290E8">
            <wp:simplePos x="0" y="0"/>
            <wp:positionH relativeFrom="margin">
              <wp:posOffset>0</wp:posOffset>
            </wp:positionH>
            <wp:positionV relativeFrom="paragraph">
              <wp:posOffset>173990</wp:posOffset>
            </wp:positionV>
            <wp:extent cx="6010275" cy="4332406"/>
            <wp:effectExtent l="0" t="0" r="0" b="0"/>
            <wp:wrapTight wrapText="bothSides">
              <wp:wrapPolygon edited="0">
                <wp:start x="0" y="0"/>
                <wp:lineTo x="0" y="21467"/>
                <wp:lineTo x="21497" y="21467"/>
                <wp:lineTo x="21497" y="0"/>
                <wp:lineTo x="0" y="0"/>
              </wp:wrapPolygon>
            </wp:wrapTight>
            <wp:docPr id="115338852" name="Imagen 11533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010275" cy="4332406"/>
                    </a:xfrm>
                    <a:prstGeom prst="rect">
                      <a:avLst/>
                    </a:prstGeom>
                  </pic:spPr>
                </pic:pic>
              </a:graphicData>
            </a:graphic>
            <wp14:sizeRelH relativeFrom="page">
              <wp14:pctWidth>0</wp14:pctWidth>
            </wp14:sizeRelH>
            <wp14:sizeRelV relativeFrom="page">
              <wp14:pctHeight>0</wp14:pctHeight>
            </wp14:sizeRelV>
          </wp:anchor>
        </w:drawing>
      </w:r>
    </w:p>
    <w:p w:rsidR="00E435A4" w:rsidRPr="00E435A4" w:rsidRDefault="00E435A4" w:rsidP="00E435A4">
      <w:pPr>
        <w:numPr>
          <w:ilvl w:val="0"/>
          <w:numId w:val="18"/>
        </w:numPr>
        <w:ind w:left="357" w:hanging="357"/>
        <w:jc w:val="both"/>
        <w:rPr>
          <w:lang w:val="es-CR"/>
        </w:rPr>
      </w:pPr>
      <w:r w:rsidRPr="00E435A4">
        <w:rPr>
          <w:rFonts w:ascii="Arial" w:hAnsi="Arial" w:cs="Arial"/>
          <w:lang w:val="es-CR"/>
        </w:rPr>
        <w:t xml:space="preserve">Los aspectos expuestos en los numerales 3 y 4 anteriores, podrían ser generadores de responsabilidad a las personas funcionarias que hayan tenido participación en el origen de esas situaciones, lo que solo puede ser determinado mediante las investigaciones correspondientes, siguiendo el debido proceso, o a carencias en el sistema de control interno que en caso de ser identificadas, deben ser subsanadas de inmediato, mediante la emisión de las directrices por parte de </w:t>
      </w:r>
      <w:r w:rsidRPr="00E435A4">
        <w:rPr>
          <w:rFonts w:ascii="Arial" w:hAnsi="Arial" w:cs="Arial"/>
          <w:lang w:val="es-CR"/>
        </w:rPr>
        <w:lastRenderedPageBreak/>
        <w:t>la Rectoría, en el marco de sus competencias o por sendos acuerdos del Consejo Institucional, si así se requiere.</w:t>
      </w:r>
    </w:p>
    <w:p w:rsidR="00E435A4" w:rsidRPr="00E435A4" w:rsidRDefault="00E435A4" w:rsidP="00E435A4">
      <w:pPr>
        <w:ind w:hanging="357"/>
        <w:jc w:val="both"/>
        <w:rPr>
          <w:rFonts w:ascii="Arial" w:hAnsi="Arial" w:cs="Arial"/>
          <w:sz w:val="16"/>
          <w:szCs w:val="16"/>
          <w:lang w:val="es-CR"/>
        </w:rPr>
      </w:pPr>
    </w:p>
    <w:p w:rsidR="00E435A4" w:rsidRPr="00E435A4" w:rsidRDefault="00E435A4" w:rsidP="00E435A4">
      <w:pPr>
        <w:numPr>
          <w:ilvl w:val="0"/>
          <w:numId w:val="18"/>
        </w:numPr>
        <w:ind w:left="357" w:hanging="357"/>
        <w:jc w:val="both"/>
        <w:rPr>
          <w:rFonts w:ascii="Arial" w:hAnsi="Arial" w:cs="Arial"/>
          <w:lang w:val="es-CR"/>
        </w:rPr>
      </w:pPr>
      <w:r w:rsidRPr="00E435A4">
        <w:rPr>
          <w:rFonts w:ascii="Arial" w:hAnsi="Arial" w:cs="Arial"/>
          <w:lang w:val="es-CR"/>
        </w:rPr>
        <w:t>La NTPP 4.5.6., inciso b, punto ii, establece, en el caso de un déficit -en este caso un “déficit operativo” en actividades financiadas con recursos específicos- la obligatoriedad para la Administración de elaborar un plan de amortización de dicho déficit, el cual debe ser aprobado por el jerarca. Al respecto, el señor Rector ha planteado, en el oficio R-916-2019, un plan de amortización consistente en un “cambio en la fuente de financiamiento”, tomando recursos del superávit libre del ejercicio 2018, para atender el déficit generado por el no desembolso del Banco Popular. Este plan de amortización debe ser aprobado en forma expresa por el Consejo Institucional, en su condición de jerarca institucional.</w:t>
      </w:r>
    </w:p>
    <w:p w:rsidR="00E435A4" w:rsidRPr="00E435A4" w:rsidRDefault="00E435A4" w:rsidP="00E435A4">
      <w:pPr>
        <w:ind w:hanging="357"/>
        <w:jc w:val="both"/>
        <w:rPr>
          <w:rFonts w:ascii="Arial" w:hAnsi="Arial" w:cs="Arial"/>
          <w:sz w:val="16"/>
          <w:szCs w:val="16"/>
          <w:lang w:val="es-CR"/>
        </w:rPr>
      </w:pPr>
    </w:p>
    <w:p w:rsidR="00E435A4" w:rsidRPr="00E435A4" w:rsidRDefault="00E435A4" w:rsidP="00E435A4">
      <w:pPr>
        <w:numPr>
          <w:ilvl w:val="0"/>
          <w:numId w:val="18"/>
        </w:numPr>
        <w:spacing w:line="259" w:lineRule="auto"/>
        <w:ind w:left="357" w:hanging="357"/>
        <w:jc w:val="both"/>
        <w:rPr>
          <w:lang w:val="es"/>
        </w:rPr>
      </w:pPr>
      <w:r w:rsidRPr="00E435A4">
        <w:rPr>
          <w:rFonts w:ascii="Arial" w:hAnsi="Arial" w:cs="Arial"/>
          <w:lang w:val="es-CR"/>
        </w:rPr>
        <w:t>La Comisión de Planificación y Administración solicitó asesoría de la Auditoría Interna, con el fin de orientar la toma de decisiones.</w:t>
      </w:r>
    </w:p>
    <w:p w:rsidR="00E435A4" w:rsidRPr="00E435A4" w:rsidRDefault="00E435A4" w:rsidP="00E435A4">
      <w:pPr>
        <w:tabs>
          <w:tab w:val="left" w:pos="3321"/>
        </w:tabs>
        <w:ind w:left="360"/>
        <w:jc w:val="both"/>
        <w:rPr>
          <w:rFonts w:ascii="Arial" w:hAnsi="Arial" w:cs="Arial"/>
          <w:lang w:val="es-CR"/>
        </w:rPr>
      </w:pPr>
    </w:p>
    <w:p w:rsidR="00E435A4" w:rsidRPr="00E435A4" w:rsidRDefault="00E435A4" w:rsidP="00E435A4">
      <w:pPr>
        <w:rPr>
          <w:rFonts w:ascii="Arial" w:hAnsi="Arial" w:cs="Arial"/>
          <w:b/>
        </w:rPr>
      </w:pPr>
      <w:r w:rsidRPr="00E435A4">
        <w:rPr>
          <w:sz w:val="20"/>
          <w:szCs w:val="20"/>
          <w:lang w:val="es-CR"/>
        </w:rPr>
        <w:t xml:space="preserve"> </w:t>
      </w:r>
      <w:r w:rsidRPr="00E435A4">
        <w:rPr>
          <w:rFonts w:ascii="Arial" w:hAnsi="Arial" w:cs="Arial"/>
          <w:b/>
        </w:rPr>
        <w:t>SE</w:t>
      </w:r>
      <w:r>
        <w:rPr>
          <w:rFonts w:ascii="Arial" w:hAnsi="Arial" w:cs="Arial"/>
          <w:b/>
        </w:rPr>
        <w:t xml:space="preserve"> ACUERDA</w:t>
      </w:r>
      <w:r w:rsidRPr="00E435A4">
        <w:rPr>
          <w:rFonts w:ascii="Arial" w:hAnsi="Arial" w:cs="Arial"/>
          <w:b/>
        </w:rPr>
        <w:t>:</w:t>
      </w:r>
    </w:p>
    <w:p w:rsidR="00E435A4" w:rsidRPr="00E435A4" w:rsidRDefault="00E435A4" w:rsidP="00E435A4">
      <w:pPr>
        <w:spacing w:after="14" w:line="259" w:lineRule="auto"/>
        <w:ind w:left="437"/>
        <w:rPr>
          <w:sz w:val="16"/>
          <w:szCs w:val="16"/>
          <w:lang w:val="es-CR"/>
        </w:rPr>
      </w:pPr>
    </w:p>
    <w:p w:rsidR="00E435A4" w:rsidRPr="00E435A4" w:rsidRDefault="00E435A4" w:rsidP="00E435A4">
      <w:pPr>
        <w:numPr>
          <w:ilvl w:val="1"/>
          <w:numId w:val="18"/>
        </w:numPr>
        <w:spacing w:line="259" w:lineRule="auto"/>
        <w:jc w:val="both"/>
        <w:rPr>
          <w:rFonts w:ascii="Arial" w:hAnsi="Arial" w:cs="Arial"/>
        </w:rPr>
      </w:pPr>
      <w:r w:rsidRPr="00E435A4">
        <w:rPr>
          <w:rFonts w:ascii="Arial" w:hAnsi="Arial" w:cs="Arial"/>
        </w:rPr>
        <w:t>Tomar nota de los ajustes necesarios para rectificar el “Informe de Liquidación Presupuestaria al 31 de diciembre de 2018”, reseñados en los resultandos 3 y 4.</w:t>
      </w:r>
    </w:p>
    <w:p w:rsidR="00E435A4" w:rsidRPr="00E435A4" w:rsidRDefault="00E435A4" w:rsidP="00E435A4">
      <w:pPr>
        <w:spacing w:line="259" w:lineRule="auto"/>
        <w:ind w:left="447"/>
        <w:jc w:val="both"/>
        <w:rPr>
          <w:rFonts w:ascii="Arial" w:hAnsi="Arial" w:cs="Arial"/>
          <w:sz w:val="16"/>
          <w:szCs w:val="16"/>
        </w:rPr>
      </w:pPr>
    </w:p>
    <w:p w:rsidR="00E435A4" w:rsidRPr="00E435A4" w:rsidRDefault="00E435A4" w:rsidP="00E435A4">
      <w:pPr>
        <w:numPr>
          <w:ilvl w:val="1"/>
          <w:numId w:val="18"/>
        </w:numPr>
        <w:spacing w:line="259" w:lineRule="auto"/>
        <w:jc w:val="both"/>
      </w:pPr>
      <w:r w:rsidRPr="00E435A4">
        <w:rPr>
          <w:rFonts w:ascii="Arial" w:hAnsi="Arial" w:cs="Arial"/>
        </w:rPr>
        <w:t xml:space="preserve">Dar por conocido el “Informe de Liquidación Presupuestaria al 31 de diciembre de 2018”, adjunto al oficio </w:t>
      </w:r>
      <w:r w:rsidRPr="00E435A4">
        <w:rPr>
          <w:rFonts w:ascii="Arial" w:hAnsi="Arial" w:cs="Arial"/>
          <w:lang w:val="es"/>
        </w:rPr>
        <w:t>R-916-2019</w:t>
      </w:r>
      <w:r w:rsidRPr="00E435A4">
        <w:rPr>
          <w:rFonts w:ascii="Arial" w:hAnsi="Arial" w:cs="Arial"/>
        </w:rPr>
        <w:t xml:space="preserve">. </w:t>
      </w:r>
    </w:p>
    <w:p w:rsidR="00E435A4" w:rsidRPr="00E435A4" w:rsidRDefault="00E435A4" w:rsidP="00E435A4">
      <w:pPr>
        <w:ind w:left="708"/>
      </w:pPr>
    </w:p>
    <w:p w:rsidR="00E435A4" w:rsidRPr="00E435A4" w:rsidRDefault="00E435A4" w:rsidP="00E435A4">
      <w:pPr>
        <w:spacing w:line="259" w:lineRule="auto"/>
        <w:ind w:left="447"/>
        <w:jc w:val="both"/>
        <w:rPr>
          <w:rFonts w:ascii="Arial" w:hAnsi="Arial" w:cs="Arial"/>
          <w:sz w:val="16"/>
          <w:szCs w:val="16"/>
        </w:rPr>
      </w:pPr>
      <w:r w:rsidRPr="00E435A4">
        <w:rPr>
          <w:rFonts w:ascii="Arial" w:hAnsi="Arial" w:cs="Arial"/>
          <w:sz w:val="16"/>
          <w:szCs w:val="16"/>
        </w:rPr>
        <w:object w:dxaOrig="1596" w:dyaOrig="1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35pt" o:ole="">
            <v:imagedata r:id="rId9" o:title=""/>
          </v:shape>
          <o:OLEObject Type="Embed" ProgID="AcroExch.Document.DC" ShapeID="_x0000_i1025" DrawAspect="Icon" ObjectID="_1628497871" r:id="rId10"/>
        </w:object>
      </w:r>
    </w:p>
    <w:p w:rsidR="00E435A4" w:rsidRPr="00E435A4" w:rsidRDefault="00E435A4" w:rsidP="00E435A4">
      <w:pPr>
        <w:numPr>
          <w:ilvl w:val="1"/>
          <w:numId w:val="18"/>
        </w:numPr>
        <w:spacing w:line="259" w:lineRule="auto"/>
        <w:jc w:val="both"/>
        <w:rPr>
          <w:rFonts w:ascii="Arial" w:hAnsi="Arial" w:cs="Arial"/>
        </w:rPr>
      </w:pPr>
      <w:r w:rsidRPr="00E435A4">
        <w:rPr>
          <w:rFonts w:ascii="Arial" w:hAnsi="Arial" w:cs="Arial"/>
        </w:rPr>
        <w:t xml:space="preserve">Instruir a la Administración para que comunique a la Contraloría General de la República, sobre la rectificación de los datos en la Liquidación Presupuestaria 2018. </w:t>
      </w:r>
    </w:p>
    <w:p w:rsidR="00E435A4" w:rsidRPr="00E435A4" w:rsidRDefault="00E435A4" w:rsidP="00E435A4">
      <w:pPr>
        <w:spacing w:line="259" w:lineRule="auto"/>
        <w:ind w:left="447"/>
        <w:jc w:val="both"/>
        <w:rPr>
          <w:rFonts w:ascii="Arial" w:hAnsi="Arial" w:cs="Arial"/>
          <w:sz w:val="16"/>
          <w:szCs w:val="16"/>
        </w:rPr>
      </w:pPr>
    </w:p>
    <w:p w:rsidR="00E435A4" w:rsidRPr="00E435A4" w:rsidRDefault="00E435A4" w:rsidP="00E435A4">
      <w:pPr>
        <w:numPr>
          <w:ilvl w:val="1"/>
          <w:numId w:val="18"/>
        </w:numPr>
        <w:spacing w:line="259" w:lineRule="auto"/>
        <w:jc w:val="both"/>
      </w:pPr>
      <w:r w:rsidRPr="00E435A4">
        <w:rPr>
          <w:rFonts w:ascii="Arial" w:hAnsi="Arial" w:cs="Arial"/>
        </w:rPr>
        <w:t xml:space="preserve">Aprobar el plan de amortización del déficit de ingreso por concepto del préstamo con el Banco Popular, propuesto por el señor Rector en el oficio </w:t>
      </w:r>
      <w:r w:rsidRPr="00E435A4">
        <w:rPr>
          <w:rFonts w:ascii="Arial" w:hAnsi="Arial" w:cs="Arial"/>
          <w:lang w:val="es"/>
        </w:rPr>
        <w:t>R-916-2019,</w:t>
      </w:r>
      <w:r w:rsidRPr="00E435A4">
        <w:rPr>
          <w:rFonts w:ascii="Arial" w:hAnsi="Arial" w:cs="Arial"/>
        </w:rPr>
        <w:t xml:space="preserve"> por el monto de </w:t>
      </w:r>
      <w:r w:rsidRPr="00E435A4">
        <w:rPr>
          <w:rFonts w:ascii="Arial" w:hAnsi="Arial" w:cs="Arial"/>
          <w:lang w:val="es"/>
        </w:rPr>
        <w:t>¢521,912.79 miles</w:t>
      </w:r>
      <w:r w:rsidRPr="00E435A4">
        <w:rPr>
          <w:rFonts w:ascii="Arial" w:hAnsi="Arial" w:cs="Arial"/>
        </w:rPr>
        <w:t xml:space="preserve">, tomando esos recursos en el mismo monto del superávit libre </w:t>
      </w:r>
      <w:r w:rsidRPr="00E435A4">
        <w:rPr>
          <w:rFonts w:ascii="Arial" w:hAnsi="Arial" w:cs="Arial"/>
          <w:lang w:val="es"/>
        </w:rPr>
        <w:t xml:space="preserve">del ejercicio del 2018; así como su aplicación en el segundo Presupuesto Extraordinario de 2019. </w:t>
      </w:r>
    </w:p>
    <w:p w:rsidR="00E435A4" w:rsidRPr="00E435A4" w:rsidRDefault="00E435A4" w:rsidP="00E435A4">
      <w:pPr>
        <w:spacing w:line="259" w:lineRule="auto"/>
        <w:ind w:left="447"/>
        <w:jc w:val="both"/>
        <w:rPr>
          <w:rFonts w:ascii="Arial" w:hAnsi="Arial" w:cs="Arial"/>
          <w:sz w:val="16"/>
          <w:szCs w:val="16"/>
        </w:rPr>
      </w:pPr>
    </w:p>
    <w:p w:rsidR="00E435A4" w:rsidRPr="00E435A4" w:rsidRDefault="00E435A4" w:rsidP="00E435A4">
      <w:pPr>
        <w:numPr>
          <w:ilvl w:val="1"/>
          <w:numId w:val="18"/>
        </w:numPr>
        <w:spacing w:line="259" w:lineRule="auto"/>
        <w:jc w:val="both"/>
        <w:rPr>
          <w:lang w:val="es"/>
        </w:rPr>
      </w:pPr>
      <w:r w:rsidRPr="00E435A4">
        <w:rPr>
          <w:rFonts w:ascii="Arial" w:hAnsi="Arial" w:cs="Arial"/>
        </w:rPr>
        <w:t xml:space="preserve">Indicar al señor Rector Ing. Luis Paulino Méndez Badilla que, en el marco de sus competencias, </w:t>
      </w:r>
      <w:r w:rsidRPr="00E435A4">
        <w:rPr>
          <w:rFonts w:ascii="Arial" w:hAnsi="Arial" w:cs="Arial"/>
          <w:lang w:val="es"/>
        </w:rPr>
        <w:t>realice las investigaciones correspondientes para determinar si los ajustes que ha requerido el “</w:t>
      </w:r>
      <w:r w:rsidRPr="00E435A4">
        <w:rPr>
          <w:rFonts w:ascii="Arial" w:hAnsi="Arial" w:cs="Arial"/>
          <w:lang w:val="es-CR"/>
        </w:rPr>
        <w:t xml:space="preserve">Informe de Liquidación Presupuestaria al 31 de diciembre de 2018”, reseñados en el oficio </w:t>
      </w:r>
      <w:r w:rsidRPr="00E435A4">
        <w:rPr>
          <w:rFonts w:ascii="Arial" w:hAnsi="Arial" w:cs="Arial"/>
          <w:lang w:val="es"/>
        </w:rPr>
        <w:t>R-916-2019 y expuestos en análisis en los considerandos 3 y 4, se generaron por actuaciones u omisiones de funcionarios(as) que puedan conllevar responsabilidades, o por carencias en el sistema de control interno que deban ser subsanadas, adoptando en este último escenario las decisiones que, en el marco de su competencia, puedan corregirlas o  bien, plantear a este Consejo, en caso necesario, una propuesta de las medidas que se deben implementar para que una situación como ésta no se vuelva a presentar; informando al Consejo Institucional los resultados de la investigación, en un plazo no superior a los tres meses.</w:t>
      </w:r>
    </w:p>
    <w:p w:rsidR="00E435A4" w:rsidRPr="00E435A4" w:rsidRDefault="00E435A4" w:rsidP="00E435A4">
      <w:pPr>
        <w:spacing w:line="259" w:lineRule="auto"/>
        <w:jc w:val="both"/>
        <w:rPr>
          <w:rFonts w:ascii="Arial" w:hAnsi="Arial" w:cs="Arial"/>
          <w:sz w:val="16"/>
          <w:szCs w:val="16"/>
        </w:rPr>
      </w:pPr>
    </w:p>
    <w:p w:rsidR="00E435A4" w:rsidRPr="00E435A4" w:rsidRDefault="00E435A4" w:rsidP="00E435A4">
      <w:pPr>
        <w:numPr>
          <w:ilvl w:val="1"/>
          <w:numId w:val="18"/>
        </w:numPr>
        <w:spacing w:line="259" w:lineRule="auto"/>
        <w:jc w:val="both"/>
        <w:rPr>
          <w:color w:val="000000"/>
        </w:rPr>
      </w:pPr>
      <w:r w:rsidRPr="00E435A4">
        <w:rPr>
          <w:rFonts w:ascii="Arial" w:hAnsi="Arial" w:cs="Arial"/>
        </w:rPr>
        <w:t xml:space="preserve">Indicar que, contra este acuerdo podrá interponerse recurso de revocatoria ante este Consejo o de apelación ante la Asamblea Institucional Representativa, o los extraordinarios de aclaración o adición, en el plazo máximo de cinco días hábiles posteriores a la notificación del acuerdo. Por así haberlo establecido la Asamblea Institucional Representativa, es potestativo del recurrente interponer ambos recursos o uno solo de ellos, sin que puedan las autoridades </w:t>
      </w:r>
      <w:r w:rsidRPr="00E435A4">
        <w:rPr>
          <w:rFonts w:ascii="Arial" w:hAnsi="Arial" w:cs="Arial"/>
          <w:lang w:val="es-CR"/>
        </w:rPr>
        <w:t>recurridas desestimar o rechazar un recurso, porque el recurrente no haya interpuesto el recurso previo.</w:t>
      </w:r>
    </w:p>
    <w:p w:rsidR="00771F15" w:rsidRDefault="00771F15" w:rsidP="007742A1">
      <w:pPr>
        <w:jc w:val="both"/>
        <w:rPr>
          <w:rFonts w:ascii="Arial" w:eastAsia="Cambria" w:hAnsi="Arial" w:cs="Arial"/>
          <w:lang w:val="es-ES_tradnl" w:eastAsia="en-US"/>
        </w:rPr>
      </w:pPr>
    </w:p>
    <w:p w:rsidR="00917157" w:rsidRPr="008841D4" w:rsidRDefault="000E564F" w:rsidP="00E435A4">
      <w:pPr>
        <w:numPr>
          <w:ilvl w:val="1"/>
          <w:numId w:val="18"/>
        </w:numPr>
        <w:spacing w:line="259" w:lineRule="auto"/>
        <w:jc w:val="both"/>
        <w:rPr>
          <w:rFonts w:ascii="Arial" w:hAnsi="Arial" w:cs="Arial"/>
        </w:rPr>
      </w:pPr>
      <w:r w:rsidRPr="000E564F">
        <w:rPr>
          <w:rFonts w:ascii="Arial" w:hAnsi="Arial" w:cs="Arial"/>
          <w:lang w:val="es-CR"/>
        </w:rPr>
        <w:t>Comunicar.</w:t>
      </w:r>
      <w:r>
        <w:rPr>
          <w:rFonts w:ascii="Arial" w:hAnsi="Arial" w:cs="Arial"/>
          <w:b/>
          <w:lang w:val="es-CR"/>
        </w:rPr>
        <w:t xml:space="preserve">  </w:t>
      </w:r>
      <w:r w:rsidR="00917157" w:rsidRPr="000E564F">
        <w:rPr>
          <w:rFonts w:ascii="Arial" w:hAnsi="Arial" w:cs="Arial"/>
          <w:b/>
          <w:lang w:val="es-CR"/>
        </w:rPr>
        <w:t>ACUERDO FIRME.</w:t>
      </w:r>
    </w:p>
    <w:p w:rsidR="008841D4" w:rsidRDefault="008841D4" w:rsidP="008841D4">
      <w:pPr>
        <w:contextualSpacing/>
        <w:jc w:val="both"/>
        <w:rPr>
          <w:rFonts w:ascii="Arial" w:hAnsi="Arial" w:cs="Arial"/>
          <w:b/>
          <w:lang w:val="es-CR"/>
        </w:rPr>
      </w:pPr>
    </w:p>
    <w:p w:rsidR="00E435A4" w:rsidRPr="00E435A4" w:rsidRDefault="00E435A4" w:rsidP="00E435A4">
      <w:pPr>
        <w:spacing w:before="240"/>
        <w:jc w:val="both"/>
        <w:rPr>
          <w:rFonts w:ascii="Arial" w:hAnsi="Arial" w:cs="Arial"/>
          <w:b/>
          <w:bCs/>
          <w:sz w:val="20"/>
          <w:szCs w:val="20"/>
          <w:lang w:val="es-CR"/>
        </w:rPr>
      </w:pPr>
      <w:r w:rsidRPr="00E435A4">
        <w:rPr>
          <w:rFonts w:ascii="Arial" w:hAnsi="Arial" w:cs="Arial"/>
          <w:b/>
          <w:bCs/>
          <w:sz w:val="20"/>
          <w:szCs w:val="20"/>
          <w:lang w:val="es-CR"/>
        </w:rPr>
        <w:t>Palabras Clave: Ajuste – Liquidación – Presupuestaria – Superávit – 2018 – Amortización - Déficit</w:t>
      </w:r>
    </w:p>
    <w:p w:rsidR="008841D4" w:rsidRPr="00E435A4" w:rsidRDefault="008841D4" w:rsidP="008841D4">
      <w:pPr>
        <w:contextualSpacing/>
        <w:jc w:val="both"/>
        <w:rPr>
          <w:rFonts w:ascii="Arial" w:hAnsi="Arial" w:cs="Arial"/>
          <w:lang w:val="es-CR"/>
        </w:rPr>
      </w:pPr>
    </w:p>
    <w:p w:rsidR="00B12317" w:rsidRDefault="00B12317" w:rsidP="00B12317">
      <w:pPr>
        <w:ind w:right="-91"/>
        <w:jc w:val="both"/>
        <w:rPr>
          <w:rFonts w:ascii="Arial" w:hAnsi="Arial" w:cs="Arial"/>
          <w:b/>
          <w:lang w:val="es-CR"/>
        </w:rPr>
      </w:pP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CE7F7E" w:rsidRPr="00474B22" w:rsidTr="004E64EF">
        <w:trPr>
          <w:trHeight w:val="183"/>
        </w:trPr>
        <w:tc>
          <w:tcPr>
            <w:tcW w:w="4361" w:type="dxa"/>
          </w:tcPr>
          <w:p w:rsidR="00F4695B" w:rsidRPr="00474B22" w:rsidRDefault="00F4695B" w:rsidP="004E64EF">
            <w:pPr>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tcPr>
          <w:p w:rsidR="00CE7F7E" w:rsidRPr="00474B22" w:rsidRDefault="00CE7F7E" w:rsidP="008D187C">
            <w:pPr>
              <w:jc w:val="both"/>
              <w:rPr>
                <w:rFonts w:ascii="Arial" w:eastAsia="Cambria" w:hAnsi="Arial" w:cs="Arial"/>
                <w:b/>
                <w:sz w:val="16"/>
                <w:szCs w:val="16"/>
                <w:lang w:val="es-ES_tradnl" w:eastAsia="en-US"/>
              </w:rPr>
            </w:pPr>
          </w:p>
        </w:tc>
      </w:tr>
    </w:tbl>
    <w:p w:rsidR="000077CC" w:rsidRPr="00B12317" w:rsidRDefault="00EB0F82" w:rsidP="001E3F3C">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2477F3" w:rsidRPr="003E5181" w:rsidRDefault="00B12317" w:rsidP="003E5181">
      <w:pPr>
        <w:ind w:left="284"/>
        <w:jc w:val="both"/>
        <w:rPr>
          <w:rFonts w:ascii="Arial" w:hAnsi="Arial" w:cs="Arial"/>
          <w:b/>
          <w:sz w:val="16"/>
          <w:szCs w:val="16"/>
          <w:lang w:val="es-CR"/>
        </w:rPr>
      </w:pPr>
      <w:r>
        <w:rPr>
          <w:rFonts w:ascii="Arial" w:hAnsi="Arial" w:cs="Arial"/>
          <w:sz w:val="16"/>
          <w:szCs w:val="16"/>
          <w:lang w:val="es-ES_tradnl"/>
        </w:rPr>
        <w:t xml:space="preserve"> </w:t>
      </w:r>
    </w:p>
    <w:p w:rsidR="002C0D34" w:rsidRPr="003E5181" w:rsidRDefault="00F41044" w:rsidP="003E5181">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p w:rsidR="00ED72F3" w:rsidRDefault="00ED72F3" w:rsidP="00C6045C">
      <w:pPr>
        <w:ind w:left="851"/>
        <w:jc w:val="both"/>
        <w:rPr>
          <w:rFonts w:ascii="Arial" w:eastAsia="Cambria" w:hAnsi="Arial" w:cs="Arial"/>
          <w:sz w:val="22"/>
          <w:szCs w:val="22"/>
          <w:lang w:val="es-CR" w:eastAsia="en-US"/>
        </w:rPr>
      </w:pPr>
    </w:p>
    <w:sectPr w:rsidR="00ED72F3" w:rsidSect="00CE0215">
      <w:headerReference w:type="default" r:id="rId11"/>
      <w:footerReference w:type="default" r:id="rId12"/>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236" w:rsidRDefault="00C27236">
      <w:r>
        <w:separator/>
      </w:r>
    </w:p>
  </w:endnote>
  <w:endnote w:type="continuationSeparator" w:id="0">
    <w:p w:rsidR="00C27236" w:rsidRDefault="00C27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865388t00">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236" w:rsidRDefault="00C27236">
      <w:r>
        <w:separator/>
      </w:r>
    </w:p>
  </w:footnote>
  <w:footnote w:type="continuationSeparator" w:id="0">
    <w:p w:rsidR="00C27236" w:rsidRDefault="00C27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w:t>
    </w:r>
    <w:r w:rsidR="000A787F">
      <w:rPr>
        <w:rFonts w:ascii="Arial" w:eastAsia="Cambria" w:hAnsi="Arial" w:cs="Arial"/>
        <w:i/>
        <w:sz w:val="18"/>
        <w:szCs w:val="18"/>
        <w:lang w:val="es-ES_tradnl" w:eastAsia="x-none"/>
      </w:rPr>
      <w:t>3</w:t>
    </w:r>
    <w:r w:rsidR="0058526E">
      <w:rPr>
        <w:rFonts w:ascii="Arial" w:eastAsia="Cambria" w:hAnsi="Arial" w:cs="Arial"/>
        <w:i/>
        <w:sz w:val="18"/>
        <w:szCs w:val="18"/>
        <w:lang w:val="es-ES_tradnl" w:eastAsia="x-none"/>
      </w:rPr>
      <w:t>3</w:t>
    </w:r>
    <w:r w:rsidRPr="00D958BC">
      <w:rPr>
        <w:rFonts w:ascii="Arial" w:eastAsia="Cambria" w:hAnsi="Arial" w:cs="Arial"/>
        <w:i/>
        <w:sz w:val="18"/>
        <w:szCs w:val="18"/>
        <w:lang w:val="es-ES_tradnl" w:eastAsia="x-none"/>
      </w:rPr>
      <w:t xml:space="preserve"> Artículo </w:t>
    </w:r>
    <w:r w:rsidR="0058526E">
      <w:rPr>
        <w:rFonts w:ascii="Arial" w:eastAsia="Cambria" w:hAnsi="Arial" w:cs="Arial"/>
        <w:i/>
        <w:sz w:val="18"/>
        <w:szCs w:val="18"/>
        <w:lang w:val="es-ES_tradnl" w:eastAsia="x-none"/>
      </w:rPr>
      <w:t>9</w:t>
    </w:r>
    <w:r w:rsidR="00476CE1">
      <w:rPr>
        <w:rFonts w:ascii="Arial" w:eastAsia="Cambria" w:hAnsi="Arial" w:cs="Arial"/>
        <w:i/>
        <w:sz w:val="18"/>
        <w:szCs w:val="18"/>
        <w:lang w:val="es-ES_tradnl" w:eastAsia="x-none"/>
      </w:rPr>
      <w:t>,</w:t>
    </w:r>
    <w:r w:rsidR="002F6AF8">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 xml:space="preserve">del </w:t>
    </w:r>
    <w:r w:rsidR="004B5364">
      <w:rPr>
        <w:rFonts w:ascii="Arial" w:eastAsia="Cambria" w:hAnsi="Arial" w:cs="Arial"/>
        <w:i/>
        <w:sz w:val="18"/>
        <w:szCs w:val="18"/>
        <w:lang w:val="es-ES_tradnl" w:eastAsia="x-none"/>
      </w:rPr>
      <w:t>2</w:t>
    </w:r>
    <w:r w:rsidR="0058526E">
      <w:rPr>
        <w:rFonts w:ascii="Arial" w:eastAsia="Cambria" w:hAnsi="Arial" w:cs="Arial"/>
        <w:i/>
        <w:sz w:val="18"/>
        <w:szCs w:val="18"/>
        <w:lang w:val="es-ES_tradnl" w:eastAsia="x-none"/>
      </w:rPr>
      <w:t>8</w:t>
    </w:r>
    <w:r w:rsidR="000A787F">
      <w:rPr>
        <w:rFonts w:ascii="Arial" w:eastAsia="Cambria" w:hAnsi="Arial" w:cs="Arial"/>
        <w:i/>
        <w:sz w:val="18"/>
        <w:szCs w:val="18"/>
        <w:lang w:val="es-ES_tradnl" w:eastAsia="x-none"/>
      </w:rPr>
      <w:t xml:space="preserve"> de agosto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445916">
      <w:rPr>
        <w:rFonts w:ascii="Arial" w:eastAsia="Cambria" w:hAnsi="Arial" w:cs="Arial"/>
        <w:i/>
        <w:noProof/>
        <w:sz w:val="18"/>
        <w:szCs w:val="18"/>
        <w:lang w:val="es-ES_tradnl" w:eastAsia="x-none"/>
      </w:rPr>
      <w:t>6</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8B235AC"/>
    <w:multiLevelType w:val="hybridMultilevel"/>
    <w:tmpl w:val="8B6C3B9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15:restartNumberingAfterBreak="0">
    <w:nsid w:val="2B3832C3"/>
    <w:multiLevelType w:val="hybridMultilevel"/>
    <w:tmpl w:val="3B908574"/>
    <w:lvl w:ilvl="0" w:tplc="585070A4">
      <w:start w:val="1"/>
      <w:numFmt w:val="lowerLetter"/>
      <w:lvlText w:val="%1."/>
      <w:lvlJc w:val="left"/>
      <w:pPr>
        <w:ind w:left="720" w:hanging="360"/>
      </w:pPr>
      <w:rPr>
        <w:rFonts w:cs="TTE1865388t00"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BC31ADC"/>
    <w:multiLevelType w:val="hybridMultilevel"/>
    <w:tmpl w:val="6D7CA12A"/>
    <w:lvl w:ilvl="0" w:tplc="55482EAA">
      <w:start w:val="1"/>
      <w:numFmt w:val="lowerLetter"/>
      <w:lvlText w:val="%1."/>
      <w:lvlJc w:val="left"/>
      <w:pPr>
        <w:ind w:left="1068" w:hanging="360"/>
      </w:pPr>
      <w:rPr>
        <w:b/>
        <w:i w:val="0"/>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 w15:restartNumberingAfterBreak="0">
    <w:nsid w:val="31996F7D"/>
    <w:multiLevelType w:val="hybridMultilevel"/>
    <w:tmpl w:val="011014A8"/>
    <w:lvl w:ilvl="0" w:tplc="D64CE136">
      <w:start w:val="1"/>
      <w:numFmt w:val="lowerLetter"/>
      <w:lvlText w:val="%1."/>
      <w:lvlJc w:val="left"/>
      <w:pPr>
        <w:ind w:left="720" w:hanging="360"/>
      </w:pPr>
      <w:rPr>
        <w:rFonts w:hint="default"/>
        <w:b/>
        <w:i w:val="0"/>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4BA7C37"/>
    <w:multiLevelType w:val="hybridMultilevel"/>
    <w:tmpl w:val="6BCA9E00"/>
    <w:lvl w:ilvl="0" w:tplc="FD52B58C">
      <w:start w:val="1"/>
      <w:numFmt w:val="decimal"/>
      <w:lvlText w:val="%1."/>
      <w:lvlJc w:val="left"/>
      <w:pPr>
        <w:ind w:left="720" w:hanging="360"/>
      </w:pPr>
      <w:rPr>
        <w:rFonts w:ascii="Arial" w:hAnsi="Arial" w:cs="Aria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8BE7ED4"/>
    <w:multiLevelType w:val="multilevel"/>
    <w:tmpl w:val="45A8BDB0"/>
    <w:lvl w:ilvl="0">
      <w:start w:val="1"/>
      <w:numFmt w:val="decimal"/>
      <w:lvlText w:val="%1."/>
      <w:lvlJc w:val="left"/>
      <w:pPr>
        <w:ind w:left="720" w:hanging="360"/>
      </w:pPr>
      <w:rPr>
        <w:rFonts w:ascii="Arial" w:hAnsi="Arial" w:cs="Arial" w:hint="default"/>
        <w:b/>
        <w:i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15B14ED"/>
    <w:multiLevelType w:val="hybridMultilevel"/>
    <w:tmpl w:val="97E6E832"/>
    <w:lvl w:ilvl="0" w:tplc="4ABA2008">
      <w:start w:val="1"/>
      <w:numFmt w:val="decimal"/>
      <w:lvlText w:val="%1."/>
      <w:lvlJc w:val="left"/>
      <w:pPr>
        <w:tabs>
          <w:tab w:val="num" w:pos="720"/>
        </w:tabs>
        <w:ind w:left="720" w:hanging="360"/>
      </w:pPr>
      <w:rPr>
        <w:rFonts w:ascii="Arial" w:hAnsi="Arial" w:cs="Arial" w:hint="default"/>
        <w:b/>
        <w:i w:val="0"/>
        <w:color w:val="auto"/>
        <w:sz w:val="24"/>
        <w:szCs w:val="24"/>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E75FE5"/>
    <w:multiLevelType w:val="hybridMultilevel"/>
    <w:tmpl w:val="1FF45AC8"/>
    <w:lvl w:ilvl="0" w:tplc="216A34FA">
      <w:start w:val="1"/>
      <w:numFmt w:val="lowerLetter"/>
      <w:lvlText w:val="%1."/>
      <w:lvlJc w:val="left"/>
      <w:pPr>
        <w:ind w:left="720" w:hanging="360"/>
      </w:pPr>
      <w:rPr>
        <w:b/>
        <w:i w:val="0"/>
        <w:strike w:val="0"/>
        <w:dstrike w:val="0"/>
        <w:sz w:val="24"/>
        <w:szCs w:val="24"/>
        <w:u w:val="none"/>
        <w:effect w:val="none"/>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 w15:restartNumberingAfterBreak="0">
    <w:nsid w:val="5722726A"/>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AA37956"/>
    <w:multiLevelType w:val="hybridMultilevel"/>
    <w:tmpl w:val="B040259E"/>
    <w:lvl w:ilvl="0" w:tplc="CF86C8BC">
      <w:start w:val="1"/>
      <w:numFmt w:val="decimal"/>
      <w:lvlText w:val="%1."/>
      <w:lvlJc w:val="left"/>
      <w:pPr>
        <w:ind w:left="720" w:hanging="36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F0C1699"/>
    <w:multiLevelType w:val="hybridMultilevel"/>
    <w:tmpl w:val="FC4C74BC"/>
    <w:lvl w:ilvl="0" w:tplc="DDE8A932">
      <w:start w:val="1"/>
      <w:numFmt w:val="decimal"/>
      <w:lvlText w:val="%1."/>
      <w:lvlJc w:val="left"/>
      <w:pPr>
        <w:tabs>
          <w:tab w:val="num" w:pos="720"/>
        </w:tabs>
        <w:ind w:left="720" w:hanging="360"/>
      </w:pPr>
      <w:rPr>
        <w:rFonts w:hint="default"/>
        <w:b/>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65E31167"/>
    <w:multiLevelType w:val="hybridMultilevel"/>
    <w:tmpl w:val="97226E48"/>
    <w:lvl w:ilvl="0" w:tplc="3F18E7F2">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CEC5D64"/>
    <w:multiLevelType w:val="hybridMultilevel"/>
    <w:tmpl w:val="D318E652"/>
    <w:lvl w:ilvl="0" w:tplc="60B21C56">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0E42948"/>
    <w:multiLevelType w:val="hybridMultilevel"/>
    <w:tmpl w:val="E6A85BD0"/>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6" w15:restartNumberingAfterBreak="0">
    <w:nsid w:val="74DA320A"/>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BEE382C"/>
    <w:multiLevelType w:val="hybridMultilevel"/>
    <w:tmpl w:val="D7A0D6A8"/>
    <w:lvl w:ilvl="0" w:tplc="A692B39C">
      <w:start w:val="1"/>
      <w:numFmt w:val="decimal"/>
      <w:lvlText w:val="%1."/>
      <w:lvlJc w:val="left"/>
      <w:pPr>
        <w:ind w:left="1495" w:hanging="360"/>
      </w:pPr>
      <w:rPr>
        <w:rFonts w:ascii="Arial" w:hAnsi="Arial" w:cs="Arial" w:hint="default"/>
        <w:b/>
        <w:i w:val="0"/>
        <w:color w:val="auto"/>
        <w:sz w:val="24"/>
        <w:szCs w:val="24"/>
        <w:lang w:val="es-ES_tradnl"/>
      </w:rPr>
    </w:lvl>
    <w:lvl w:ilvl="1" w:tplc="9C26CBF4">
      <w:start w:val="1"/>
      <w:numFmt w:val="lowerLetter"/>
      <w:lvlText w:val="%2."/>
      <w:lvlJc w:val="left"/>
      <w:pPr>
        <w:ind w:left="447" w:hanging="360"/>
      </w:pPr>
      <w:rPr>
        <w:rFonts w:ascii="Arial" w:hAnsi="Arial" w:cs="Arial" w:hint="default"/>
        <w:b/>
        <w:sz w:val="24"/>
        <w:szCs w:val="24"/>
      </w:r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num w:numId="1">
    <w:abstractNumId w:val="1"/>
  </w:num>
  <w:num w:numId="2">
    <w:abstractNumId w:val="0"/>
  </w:num>
  <w:num w:numId="3">
    <w:abstractNumId w:val="14"/>
  </w:num>
  <w:num w:numId="4">
    <w:abstractNumId w:val="12"/>
  </w:num>
  <w:num w:numId="5">
    <w:abstractNumId w:val="16"/>
  </w:num>
  <w:num w:numId="6">
    <w:abstractNumId w:val="10"/>
  </w:num>
  <w:num w:numId="7">
    <w:abstractNumId w:val="5"/>
  </w:num>
  <w:num w:numId="8">
    <w:abstractNumId w:val="7"/>
  </w:num>
  <w:num w:numId="9">
    <w:abstractNumId w:val="6"/>
  </w:num>
  <w:num w:numId="10">
    <w:abstractNumId w:val="3"/>
  </w:num>
  <w:num w:numId="11">
    <w:abstractNumId w:val="11"/>
  </w:num>
  <w:num w:numId="12">
    <w:abstractNumId w:val="13"/>
  </w:num>
  <w:num w:numId="13">
    <w:abstractNumId w:val="8"/>
  </w:num>
  <w:num w:numId="14">
    <w:abstractNumId w:val="9"/>
  </w:num>
  <w:num w:numId="15">
    <w:abstractNumId w:val="2"/>
  </w:num>
  <w:num w:numId="16">
    <w:abstractNumId w:val="15"/>
  </w:num>
  <w:num w:numId="17">
    <w:abstractNumId w:val="4"/>
  </w:num>
  <w:num w:numId="1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077CC"/>
    <w:rsid w:val="00010592"/>
    <w:rsid w:val="00011DBE"/>
    <w:rsid w:val="000120EB"/>
    <w:rsid w:val="000128E2"/>
    <w:rsid w:val="000152E6"/>
    <w:rsid w:val="00017DE2"/>
    <w:rsid w:val="00020858"/>
    <w:rsid w:val="000213DD"/>
    <w:rsid w:val="00024564"/>
    <w:rsid w:val="00024A27"/>
    <w:rsid w:val="00024BA5"/>
    <w:rsid w:val="000254A5"/>
    <w:rsid w:val="000256DE"/>
    <w:rsid w:val="00025F60"/>
    <w:rsid w:val="00026533"/>
    <w:rsid w:val="00026F1A"/>
    <w:rsid w:val="00033918"/>
    <w:rsid w:val="00034CE3"/>
    <w:rsid w:val="000359F5"/>
    <w:rsid w:val="0003651A"/>
    <w:rsid w:val="00036DAC"/>
    <w:rsid w:val="000372D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9D9"/>
    <w:rsid w:val="00067BE7"/>
    <w:rsid w:val="00067C8C"/>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29E"/>
    <w:rsid w:val="000934FF"/>
    <w:rsid w:val="000936AB"/>
    <w:rsid w:val="00093971"/>
    <w:rsid w:val="00094138"/>
    <w:rsid w:val="000955C3"/>
    <w:rsid w:val="000A0756"/>
    <w:rsid w:val="000A0FF7"/>
    <w:rsid w:val="000A19B8"/>
    <w:rsid w:val="000A5D85"/>
    <w:rsid w:val="000A5F69"/>
    <w:rsid w:val="000A6BE8"/>
    <w:rsid w:val="000A787F"/>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A8B"/>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64F"/>
    <w:rsid w:val="000E5B14"/>
    <w:rsid w:val="000E6DC9"/>
    <w:rsid w:val="000F106C"/>
    <w:rsid w:val="000F1E1D"/>
    <w:rsid w:val="000F2A0F"/>
    <w:rsid w:val="000F4343"/>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38F4"/>
    <w:rsid w:val="00115853"/>
    <w:rsid w:val="00117C68"/>
    <w:rsid w:val="00121308"/>
    <w:rsid w:val="001237E1"/>
    <w:rsid w:val="001240CC"/>
    <w:rsid w:val="001248CE"/>
    <w:rsid w:val="001256AA"/>
    <w:rsid w:val="001263D3"/>
    <w:rsid w:val="001272AF"/>
    <w:rsid w:val="001304BF"/>
    <w:rsid w:val="0013093C"/>
    <w:rsid w:val="001319DF"/>
    <w:rsid w:val="00132C08"/>
    <w:rsid w:val="00133DC3"/>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3956"/>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A5D"/>
    <w:rsid w:val="00196E82"/>
    <w:rsid w:val="001A0A20"/>
    <w:rsid w:val="001A0D41"/>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3F3C"/>
    <w:rsid w:val="001E684C"/>
    <w:rsid w:val="001E69A6"/>
    <w:rsid w:val="001E69C9"/>
    <w:rsid w:val="001E6DC5"/>
    <w:rsid w:val="001F0C0F"/>
    <w:rsid w:val="001F26FD"/>
    <w:rsid w:val="001F3B35"/>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2D8"/>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477F3"/>
    <w:rsid w:val="00250B47"/>
    <w:rsid w:val="002535D4"/>
    <w:rsid w:val="00253D5C"/>
    <w:rsid w:val="002543F5"/>
    <w:rsid w:val="00255202"/>
    <w:rsid w:val="002569E9"/>
    <w:rsid w:val="00256C13"/>
    <w:rsid w:val="00260F3E"/>
    <w:rsid w:val="00261D4A"/>
    <w:rsid w:val="00263233"/>
    <w:rsid w:val="00263D21"/>
    <w:rsid w:val="002643B6"/>
    <w:rsid w:val="00264EFA"/>
    <w:rsid w:val="00266024"/>
    <w:rsid w:val="00266221"/>
    <w:rsid w:val="002668E5"/>
    <w:rsid w:val="0026727D"/>
    <w:rsid w:val="00267A3B"/>
    <w:rsid w:val="00267FAF"/>
    <w:rsid w:val="002743B7"/>
    <w:rsid w:val="00274B8E"/>
    <w:rsid w:val="00275822"/>
    <w:rsid w:val="00275FE3"/>
    <w:rsid w:val="0027711F"/>
    <w:rsid w:val="00280C7B"/>
    <w:rsid w:val="00281B37"/>
    <w:rsid w:val="00282EA3"/>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5EB4"/>
    <w:rsid w:val="002C6BE2"/>
    <w:rsid w:val="002D170E"/>
    <w:rsid w:val="002D2A79"/>
    <w:rsid w:val="002D2C7C"/>
    <w:rsid w:val="002D2DF2"/>
    <w:rsid w:val="002D6978"/>
    <w:rsid w:val="002D76DD"/>
    <w:rsid w:val="002D7A95"/>
    <w:rsid w:val="002E03BF"/>
    <w:rsid w:val="002E1507"/>
    <w:rsid w:val="002E2751"/>
    <w:rsid w:val="002E49F2"/>
    <w:rsid w:val="002E5A2A"/>
    <w:rsid w:val="002F03FC"/>
    <w:rsid w:val="002F05FD"/>
    <w:rsid w:val="002F1374"/>
    <w:rsid w:val="002F23A9"/>
    <w:rsid w:val="002F6367"/>
    <w:rsid w:val="002F6AF8"/>
    <w:rsid w:val="00300778"/>
    <w:rsid w:val="003011A3"/>
    <w:rsid w:val="0030153B"/>
    <w:rsid w:val="00301B0B"/>
    <w:rsid w:val="00302A99"/>
    <w:rsid w:val="003042E7"/>
    <w:rsid w:val="003047F1"/>
    <w:rsid w:val="0030486D"/>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4A92"/>
    <w:rsid w:val="003369A5"/>
    <w:rsid w:val="00336F05"/>
    <w:rsid w:val="00337408"/>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CFF"/>
    <w:rsid w:val="00365D1B"/>
    <w:rsid w:val="0036607E"/>
    <w:rsid w:val="00366F0E"/>
    <w:rsid w:val="00370216"/>
    <w:rsid w:val="00371DC1"/>
    <w:rsid w:val="003756F2"/>
    <w:rsid w:val="00380871"/>
    <w:rsid w:val="00381397"/>
    <w:rsid w:val="0038212F"/>
    <w:rsid w:val="00382EA8"/>
    <w:rsid w:val="00385402"/>
    <w:rsid w:val="003859C1"/>
    <w:rsid w:val="00385D90"/>
    <w:rsid w:val="00387158"/>
    <w:rsid w:val="00387E4E"/>
    <w:rsid w:val="00391FB9"/>
    <w:rsid w:val="003921B6"/>
    <w:rsid w:val="00392B56"/>
    <w:rsid w:val="00394733"/>
    <w:rsid w:val="00395647"/>
    <w:rsid w:val="00396AAA"/>
    <w:rsid w:val="003A34C0"/>
    <w:rsid w:val="003A3C06"/>
    <w:rsid w:val="003A434F"/>
    <w:rsid w:val="003A49BC"/>
    <w:rsid w:val="003A524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60C"/>
    <w:rsid w:val="003C388C"/>
    <w:rsid w:val="003C46A0"/>
    <w:rsid w:val="003C5113"/>
    <w:rsid w:val="003C5FFE"/>
    <w:rsid w:val="003C6ED7"/>
    <w:rsid w:val="003D2633"/>
    <w:rsid w:val="003D3F8A"/>
    <w:rsid w:val="003D5AAA"/>
    <w:rsid w:val="003D7515"/>
    <w:rsid w:val="003E02A1"/>
    <w:rsid w:val="003E0C89"/>
    <w:rsid w:val="003E2233"/>
    <w:rsid w:val="003E23AD"/>
    <w:rsid w:val="003E26B1"/>
    <w:rsid w:val="003E2804"/>
    <w:rsid w:val="003E369B"/>
    <w:rsid w:val="003E5181"/>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916"/>
    <w:rsid w:val="00445CED"/>
    <w:rsid w:val="00445E98"/>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035"/>
    <w:rsid w:val="00476861"/>
    <w:rsid w:val="00476CE1"/>
    <w:rsid w:val="00477A87"/>
    <w:rsid w:val="00480A91"/>
    <w:rsid w:val="0048135B"/>
    <w:rsid w:val="00481E38"/>
    <w:rsid w:val="004823B5"/>
    <w:rsid w:val="00482A59"/>
    <w:rsid w:val="0048389C"/>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5D5E"/>
    <w:rsid w:val="004A6FE0"/>
    <w:rsid w:val="004A7236"/>
    <w:rsid w:val="004B2B3D"/>
    <w:rsid w:val="004B3C97"/>
    <w:rsid w:val="004B43AF"/>
    <w:rsid w:val="004B4763"/>
    <w:rsid w:val="004B5364"/>
    <w:rsid w:val="004B66FD"/>
    <w:rsid w:val="004B6F51"/>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D7710"/>
    <w:rsid w:val="004E1FC9"/>
    <w:rsid w:val="004E23CB"/>
    <w:rsid w:val="004E3D7B"/>
    <w:rsid w:val="004E6438"/>
    <w:rsid w:val="004E64EF"/>
    <w:rsid w:val="004E65FB"/>
    <w:rsid w:val="004E6E23"/>
    <w:rsid w:val="004E7D9D"/>
    <w:rsid w:val="004E7FFC"/>
    <w:rsid w:val="004F2645"/>
    <w:rsid w:val="004F319C"/>
    <w:rsid w:val="004F36F9"/>
    <w:rsid w:val="004F6BA9"/>
    <w:rsid w:val="004F7EB0"/>
    <w:rsid w:val="00501E14"/>
    <w:rsid w:val="00502116"/>
    <w:rsid w:val="00503263"/>
    <w:rsid w:val="005032E7"/>
    <w:rsid w:val="005047A3"/>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28FD"/>
    <w:rsid w:val="00563417"/>
    <w:rsid w:val="00563E83"/>
    <w:rsid w:val="005653A1"/>
    <w:rsid w:val="0056674D"/>
    <w:rsid w:val="00570916"/>
    <w:rsid w:val="005718A6"/>
    <w:rsid w:val="00574E3C"/>
    <w:rsid w:val="005766E0"/>
    <w:rsid w:val="00577426"/>
    <w:rsid w:val="00581106"/>
    <w:rsid w:val="005832B2"/>
    <w:rsid w:val="0058526E"/>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222"/>
    <w:rsid w:val="005A74FE"/>
    <w:rsid w:val="005A76D9"/>
    <w:rsid w:val="005B2823"/>
    <w:rsid w:val="005B465B"/>
    <w:rsid w:val="005B6F1F"/>
    <w:rsid w:val="005C0755"/>
    <w:rsid w:val="005C2C87"/>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3D1A"/>
    <w:rsid w:val="005F4079"/>
    <w:rsid w:val="005F40F5"/>
    <w:rsid w:val="005F510D"/>
    <w:rsid w:val="005F6B28"/>
    <w:rsid w:val="005F79E5"/>
    <w:rsid w:val="005F7BC7"/>
    <w:rsid w:val="00603C4D"/>
    <w:rsid w:val="00604520"/>
    <w:rsid w:val="006059E6"/>
    <w:rsid w:val="0060685F"/>
    <w:rsid w:val="00607B7C"/>
    <w:rsid w:val="00607ECD"/>
    <w:rsid w:val="00610697"/>
    <w:rsid w:val="0061239A"/>
    <w:rsid w:val="00612C0F"/>
    <w:rsid w:val="006133E5"/>
    <w:rsid w:val="00620D40"/>
    <w:rsid w:val="00621218"/>
    <w:rsid w:val="0062298E"/>
    <w:rsid w:val="00623598"/>
    <w:rsid w:val="00623979"/>
    <w:rsid w:val="00623BA9"/>
    <w:rsid w:val="0062557C"/>
    <w:rsid w:val="00625AB2"/>
    <w:rsid w:val="00631B4A"/>
    <w:rsid w:val="00633029"/>
    <w:rsid w:val="00633C40"/>
    <w:rsid w:val="00633E40"/>
    <w:rsid w:val="00636361"/>
    <w:rsid w:val="00640339"/>
    <w:rsid w:val="00641982"/>
    <w:rsid w:val="00641F5E"/>
    <w:rsid w:val="0064406E"/>
    <w:rsid w:val="006442DF"/>
    <w:rsid w:val="0064444E"/>
    <w:rsid w:val="00645C62"/>
    <w:rsid w:val="006465AB"/>
    <w:rsid w:val="00646ED5"/>
    <w:rsid w:val="00647711"/>
    <w:rsid w:val="00651E73"/>
    <w:rsid w:val="0065208E"/>
    <w:rsid w:val="00653936"/>
    <w:rsid w:val="006558C0"/>
    <w:rsid w:val="00656B1D"/>
    <w:rsid w:val="00661406"/>
    <w:rsid w:val="00662142"/>
    <w:rsid w:val="00664E8B"/>
    <w:rsid w:val="00665335"/>
    <w:rsid w:val="0066604E"/>
    <w:rsid w:val="0066690B"/>
    <w:rsid w:val="00672900"/>
    <w:rsid w:val="00672D32"/>
    <w:rsid w:val="0067394A"/>
    <w:rsid w:val="00675C04"/>
    <w:rsid w:val="00676630"/>
    <w:rsid w:val="00676DF3"/>
    <w:rsid w:val="00682D8A"/>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B55"/>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0E65"/>
    <w:rsid w:val="006D2575"/>
    <w:rsid w:val="006D4512"/>
    <w:rsid w:val="006D4753"/>
    <w:rsid w:val="006D5795"/>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06ED"/>
    <w:rsid w:val="00700F21"/>
    <w:rsid w:val="00704042"/>
    <w:rsid w:val="00706FEC"/>
    <w:rsid w:val="0071118B"/>
    <w:rsid w:val="007116E4"/>
    <w:rsid w:val="007133B5"/>
    <w:rsid w:val="007140BA"/>
    <w:rsid w:val="0071574F"/>
    <w:rsid w:val="00716307"/>
    <w:rsid w:val="00716A85"/>
    <w:rsid w:val="00717E7B"/>
    <w:rsid w:val="00720E26"/>
    <w:rsid w:val="00722637"/>
    <w:rsid w:val="00722F40"/>
    <w:rsid w:val="00725291"/>
    <w:rsid w:val="00730242"/>
    <w:rsid w:val="00730BAA"/>
    <w:rsid w:val="00730FA5"/>
    <w:rsid w:val="007313FD"/>
    <w:rsid w:val="00731403"/>
    <w:rsid w:val="00731891"/>
    <w:rsid w:val="0073280F"/>
    <w:rsid w:val="00733178"/>
    <w:rsid w:val="00734993"/>
    <w:rsid w:val="00735B4A"/>
    <w:rsid w:val="00735DBA"/>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1D88"/>
    <w:rsid w:val="0076203A"/>
    <w:rsid w:val="00763AF2"/>
    <w:rsid w:val="00767A01"/>
    <w:rsid w:val="00767AF5"/>
    <w:rsid w:val="00771193"/>
    <w:rsid w:val="00771F15"/>
    <w:rsid w:val="007729C9"/>
    <w:rsid w:val="007742A1"/>
    <w:rsid w:val="00774600"/>
    <w:rsid w:val="00777FF4"/>
    <w:rsid w:val="00781332"/>
    <w:rsid w:val="007819B0"/>
    <w:rsid w:val="007837C1"/>
    <w:rsid w:val="007848E0"/>
    <w:rsid w:val="0078514D"/>
    <w:rsid w:val="00785B68"/>
    <w:rsid w:val="00791713"/>
    <w:rsid w:val="00791806"/>
    <w:rsid w:val="00791D2B"/>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670"/>
    <w:rsid w:val="008108E8"/>
    <w:rsid w:val="0081353F"/>
    <w:rsid w:val="00815304"/>
    <w:rsid w:val="00816407"/>
    <w:rsid w:val="00817E8C"/>
    <w:rsid w:val="00821226"/>
    <w:rsid w:val="00821E37"/>
    <w:rsid w:val="00821E72"/>
    <w:rsid w:val="00823CC6"/>
    <w:rsid w:val="00825809"/>
    <w:rsid w:val="00825F93"/>
    <w:rsid w:val="00831982"/>
    <w:rsid w:val="0083257F"/>
    <w:rsid w:val="00833CF7"/>
    <w:rsid w:val="00834636"/>
    <w:rsid w:val="00835E65"/>
    <w:rsid w:val="00836144"/>
    <w:rsid w:val="00837AFC"/>
    <w:rsid w:val="0084085F"/>
    <w:rsid w:val="00841F61"/>
    <w:rsid w:val="008434BA"/>
    <w:rsid w:val="00845D24"/>
    <w:rsid w:val="00845DBC"/>
    <w:rsid w:val="00851093"/>
    <w:rsid w:val="008517A6"/>
    <w:rsid w:val="008522DF"/>
    <w:rsid w:val="008544DB"/>
    <w:rsid w:val="008569BA"/>
    <w:rsid w:val="00862FA3"/>
    <w:rsid w:val="00862FDC"/>
    <w:rsid w:val="00863F94"/>
    <w:rsid w:val="00865845"/>
    <w:rsid w:val="00866EEF"/>
    <w:rsid w:val="008757CC"/>
    <w:rsid w:val="008765DF"/>
    <w:rsid w:val="00876EC4"/>
    <w:rsid w:val="00877453"/>
    <w:rsid w:val="0088064F"/>
    <w:rsid w:val="00880D5D"/>
    <w:rsid w:val="008833CD"/>
    <w:rsid w:val="008841D4"/>
    <w:rsid w:val="00885725"/>
    <w:rsid w:val="00885DF1"/>
    <w:rsid w:val="00885F0A"/>
    <w:rsid w:val="00887FCC"/>
    <w:rsid w:val="008903EF"/>
    <w:rsid w:val="00891B08"/>
    <w:rsid w:val="00893524"/>
    <w:rsid w:val="008935CB"/>
    <w:rsid w:val="00893FAC"/>
    <w:rsid w:val="0089404C"/>
    <w:rsid w:val="008A03C9"/>
    <w:rsid w:val="008A0859"/>
    <w:rsid w:val="008A1075"/>
    <w:rsid w:val="008A160D"/>
    <w:rsid w:val="008A28F0"/>
    <w:rsid w:val="008A3B39"/>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5D01"/>
    <w:rsid w:val="008D74B3"/>
    <w:rsid w:val="008D7C3D"/>
    <w:rsid w:val="008D7E9D"/>
    <w:rsid w:val="008E0D8C"/>
    <w:rsid w:val="008E121B"/>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4B0"/>
    <w:rsid w:val="00911F5C"/>
    <w:rsid w:val="00911F70"/>
    <w:rsid w:val="009120EB"/>
    <w:rsid w:val="00914473"/>
    <w:rsid w:val="00914F38"/>
    <w:rsid w:val="00915D94"/>
    <w:rsid w:val="00917157"/>
    <w:rsid w:val="00917F97"/>
    <w:rsid w:val="00924AA2"/>
    <w:rsid w:val="009258C6"/>
    <w:rsid w:val="00925985"/>
    <w:rsid w:val="00930A02"/>
    <w:rsid w:val="00931FBC"/>
    <w:rsid w:val="00932C87"/>
    <w:rsid w:val="009401C7"/>
    <w:rsid w:val="00941DA2"/>
    <w:rsid w:val="00945C56"/>
    <w:rsid w:val="009462DD"/>
    <w:rsid w:val="009526A4"/>
    <w:rsid w:val="00952F8F"/>
    <w:rsid w:val="00953265"/>
    <w:rsid w:val="00953CA5"/>
    <w:rsid w:val="009546D0"/>
    <w:rsid w:val="009561A9"/>
    <w:rsid w:val="00956670"/>
    <w:rsid w:val="0096004A"/>
    <w:rsid w:val="00961770"/>
    <w:rsid w:val="00961D14"/>
    <w:rsid w:val="00962660"/>
    <w:rsid w:val="00963F04"/>
    <w:rsid w:val="00964B8E"/>
    <w:rsid w:val="00964EEB"/>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A41"/>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9F7EF8"/>
    <w:rsid w:val="00A000F6"/>
    <w:rsid w:val="00A00DE4"/>
    <w:rsid w:val="00A00FA5"/>
    <w:rsid w:val="00A0302F"/>
    <w:rsid w:val="00A034D6"/>
    <w:rsid w:val="00A03B20"/>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49F8"/>
    <w:rsid w:val="00A258C2"/>
    <w:rsid w:val="00A261DF"/>
    <w:rsid w:val="00A276D0"/>
    <w:rsid w:val="00A27C72"/>
    <w:rsid w:val="00A305BA"/>
    <w:rsid w:val="00A3087E"/>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1AC7"/>
    <w:rsid w:val="00A91D17"/>
    <w:rsid w:val="00A9472C"/>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1B0F"/>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317"/>
    <w:rsid w:val="00B124AA"/>
    <w:rsid w:val="00B15322"/>
    <w:rsid w:val="00B15A50"/>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16F1"/>
    <w:rsid w:val="00B421BD"/>
    <w:rsid w:val="00B429A5"/>
    <w:rsid w:val="00B4627C"/>
    <w:rsid w:val="00B47959"/>
    <w:rsid w:val="00B500C3"/>
    <w:rsid w:val="00B50C53"/>
    <w:rsid w:val="00B50DD5"/>
    <w:rsid w:val="00B544F0"/>
    <w:rsid w:val="00B545A7"/>
    <w:rsid w:val="00B60382"/>
    <w:rsid w:val="00B6158F"/>
    <w:rsid w:val="00B63D1C"/>
    <w:rsid w:val="00B65737"/>
    <w:rsid w:val="00B65D67"/>
    <w:rsid w:val="00B67100"/>
    <w:rsid w:val="00B70E30"/>
    <w:rsid w:val="00B715D6"/>
    <w:rsid w:val="00B7167E"/>
    <w:rsid w:val="00B7392D"/>
    <w:rsid w:val="00B74005"/>
    <w:rsid w:val="00B7431F"/>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A7D81"/>
    <w:rsid w:val="00BB2E58"/>
    <w:rsid w:val="00BB52F5"/>
    <w:rsid w:val="00BB6A5E"/>
    <w:rsid w:val="00BB6E6E"/>
    <w:rsid w:val="00BC005D"/>
    <w:rsid w:val="00BC10F8"/>
    <w:rsid w:val="00BC4970"/>
    <w:rsid w:val="00BC53DB"/>
    <w:rsid w:val="00BD38AF"/>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27236"/>
    <w:rsid w:val="00C3150F"/>
    <w:rsid w:val="00C320EC"/>
    <w:rsid w:val="00C331DC"/>
    <w:rsid w:val="00C338DB"/>
    <w:rsid w:val="00C33B68"/>
    <w:rsid w:val="00C3580C"/>
    <w:rsid w:val="00C3645D"/>
    <w:rsid w:val="00C37602"/>
    <w:rsid w:val="00C413F4"/>
    <w:rsid w:val="00C4449E"/>
    <w:rsid w:val="00C46475"/>
    <w:rsid w:val="00C47C47"/>
    <w:rsid w:val="00C521FE"/>
    <w:rsid w:val="00C540BB"/>
    <w:rsid w:val="00C54CCA"/>
    <w:rsid w:val="00C54F22"/>
    <w:rsid w:val="00C55D84"/>
    <w:rsid w:val="00C56393"/>
    <w:rsid w:val="00C56BFB"/>
    <w:rsid w:val="00C6045C"/>
    <w:rsid w:val="00C6171B"/>
    <w:rsid w:val="00C61909"/>
    <w:rsid w:val="00C624D9"/>
    <w:rsid w:val="00C62A27"/>
    <w:rsid w:val="00C64580"/>
    <w:rsid w:val="00C64624"/>
    <w:rsid w:val="00C65E08"/>
    <w:rsid w:val="00C67192"/>
    <w:rsid w:val="00C703AD"/>
    <w:rsid w:val="00C70F02"/>
    <w:rsid w:val="00C718B7"/>
    <w:rsid w:val="00C71968"/>
    <w:rsid w:val="00C73715"/>
    <w:rsid w:val="00C75274"/>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591"/>
    <w:rsid w:val="00CA3E94"/>
    <w:rsid w:val="00CA406B"/>
    <w:rsid w:val="00CA6F4F"/>
    <w:rsid w:val="00CB0CB0"/>
    <w:rsid w:val="00CB0ED4"/>
    <w:rsid w:val="00CB1EFF"/>
    <w:rsid w:val="00CB2353"/>
    <w:rsid w:val="00CB4C4E"/>
    <w:rsid w:val="00CB5DCD"/>
    <w:rsid w:val="00CB6518"/>
    <w:rsid w:val="00CB682F"/>
    <w:rsid w:val="00CB739A"/>
    <w:rsid w:val="00CB7A61"/>
    <w:rsid w:val="00CC1B49"/>
    <w:rsid w:val="00CC363D"/>
    <w:rsid w:val="00CC41FF"/>
    <w:rsid w:val="00CC64CA"/>
    <w:rsid w:val="00CC68BB"/>
    <w:rsid w:val="00CC7CB5"/>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94E"/>
    <w:rsid w:val="00CF2D7E"/>
    <w:rsid w:val="00CF3F70"/>
    <w:rsid w:val="00CF46CC"/>
    <w:rsid w:val="00CF4A51"/>
    <w:rsid w:val="00D00E82"/>
    <w:rsid w:val="00D0233D"/>
    <w:rsid w:val="00D023EE"/>
    <w:rsid w:val="00D0240D"/>
    <w:rsid w:val="00D03F8C"/>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3CE4"/>
    <w:rsid w:val="00D350A6"/>
    <w:rsid w:val="00D3702F"/>
    <w:rsid w:val="00D3783E"/>
    <w:rsid w:val="00D37A3C"/>
    <w:rsid w:val="00D411CD"/>
    <w:rsid w:val="00D41CFB"/>
    <w:rsid w:val="00D43903"/>
    <w:rsid w:val="00D43FD9"/>
    <w:rsid w:val="00D4408D"/>
    <w:rsid w:val="00D44CBD"/>
    <w:rsid w:val="00D45874"/>
    <w:rsid w:val="00D462A5"/>
    <w:rsid w:val="00D46755"/>
    <w:rsid w:val="00D46997"/>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77C4D"/>
    <w:rsid w:val="00D811D1"/>
    <w:rsid w:val="00D85AF2"/>
    <w:rsid w:val="00D86B2D"/>
    <w:rsid w:val="00D91190"/>
    <w:rsid w:val="00D91D3F"/>
    <w:rsid w:val="00D91FDE"/>
    <w:rsid w:val="00D975CB"/>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36A6"/>
    <w:rsid w:val="00DC4940"/>
    <w:rsid w:val="00DC495A"/>
    <w:rsid w:val="00DC5266"/>
    <w:rsid w:val="00DD46A3"/>
    <w:rsid w:val="00DD50B4"/>
    <w:rsid w:val="00DD739B"/>
    <w:rsid w:val="00DD760F"/>
    <w:rsid w:val="00DE04D8"/>
    <w:rsid w:val="00DE0B28"/>
    <w:rsid w:val="00DE4B08"/>
    <w:rsid w:val="00DE6765"/>
    <w:rsid w:val="00DE7014"/>
    <w:rsid w:val="00DE7BB8"/>
    <w:rsid w:val="00DE7C50"/>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5A4"/>
    <w:rsid w:val="00E43A3A"/>
    <w:rsid w:val="00E43E6A"/>
    <w:rsid w:val="00E4464A"/>
    <w:rsid w:val="00E47137"/>
    <w:rsid w:val="00E50D68"/>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77421"/>
    <w:rsid w:val="00E80FBE"/>
    <w:rsid w:val="00E81E9F"/>
    <w:rsid w:val="00E82183"/>
    <w:rsid w:val="00E84C74"/>
    <w:rsid w:val="00E85F6A"/>
    <w:rsid w:val="00E8679F"/>
    <w:rsid w:val="00E9069C"/>
    <w:rsid w:val="00E909DA"/>
    <w:rsid w:val="00E913FF"/>
    <w:rsid w:val="00E9331A"/>
    <w:rsid w:val="00E96B6D"/>
    <w:rsid w:val="00E97E4C"/>
    <w:rsid w:val="00E97F75"/>
    <w:rsid w:val="00EA2E1B"/>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D72F3"/>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4C81"/>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574DD"/>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41A8"/>
    <w:rsid w:val="00F85C49"/>
    <w:rsid w:val="00F873EA"/>
    <w:rsid w:val="00F9258D"/>
    <w:rsid w:val="00F925E2"/>
    <w:rsid w:val="00F93629"/>
    <w:rsid w:val="00F9525E"/>
    <w:rsid w:val="00F952C5"/>
    <w:rsid w:val="00F95643"/>
    <w:rsid w:val="00F96A43"/>
    <w:rsid w:val="00F96DD8"/>
    <w:rsid w:val="00F97429"/>
    <w:rsid w:val="00FA2416"/>
    <w:rsid w:val="00FA31A5"/>
    <w:rsid w:val="00FA361C"/>
    <w:rsid w:val="00FA370C"/>
    <w:rsid w:val="00FA3C47"/>
    <w:rsid w:val="00FA4749"/>
    <w:rsid w:val="00FA53B1"/>
    <w:rsid w:val="00FA6F2C"/>
    <w:rsid w:val="00FB07B1"/>
    <w:rsid w:val="00FB0CC5"/>
    <w:rsid w:val="00FB0D21"/>
    <w:rsid w:val="00FB29FB"/>
    <w:rsid w:val="00FB31FA"/>
    <w:rsid w:val="00FB3BFF"/>
    <w:rsid w:val="00FB3EB6"/>
    <w:rsid w:val="00FB4459"/>
    <w:rsid w:val="00FB5D65"/>
    <w:rsid w:val="00FB6232"/>
    <w:rsid w:val="00FC1818"/>
    <w:rsid w:val="00FC1FA4"/>
    <w:rsid w:val="00FC2047"/>
    <w:rsid w:val="00FC2763"/>
    <w:rsid w:val="00FC322D"/>
    <w:rsid w:val="00FD13B7"/>
    <w:rsid w:val="00FD259F"/>
    <w:rsid w:val="00FD43DC"/>
    <w:rsid w:val="00FD56CC"/>
    <w:rsid w:val="00FD5A54"/>
    <w:rsid w:val="00FD5D76"/>
    <w:rsid w:val="00FD6179"/>
    <w:rsid w:val="00FD648E"/>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C4B729"/>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00F21"/>
    <w:pPr>
      <w:pBdr>
        <w:top w:val="nil"/>
        <w:left w:val="nil"/>
        <w:bottom w:val="nil"/>
        <w:right w:val="nil"/>
        <w:between w:val="nil"/>
      </w:pBdr>
    </w:pPr>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C7A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CA6F4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811D1"/>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A2E1B"/>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4686169">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366105203">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01038587">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0FE8B-4F23-488A-B1FE-286067888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6</Pages>
  <Words>2010</Words>
  <Characters>11061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13045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191</cp:revision>
  <cp:lastPrinted>2019-08-14T19:53:00Z</cp:lastPrinted>
  <dcterms:created xsi:type="dcterms:W3CDTF">2018-05-02T21:37:00Z</dcterms:created>
  <dcterms:modified xsi:type="dcterms:W3CDTF">2019-08-28T17:45:00Z</dcterms:modified>
</cp:coreProperties>
</file>