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73395">
        <w:rPr>
          <w:rFonts w:ascii="Arial" w:hAnsi="Arial" w:cs="Arial"/>
          <w:b/>
          <w:bCs/>
          <w:iCs/>
          <w:sz w:val="26"/>
          <w:szCs w:val="22"/>
          <w:lang w:val="es-CR"/>
        </w:rPr>
        <w:t>781</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873395" w:rsidRDefault="00873395" w:rsidP="00CA6F4F">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xml:space="preserve">. Grettel Ortiz Álvarez, Directora Oficina Asesoría Legal </w:t>
            </w:r>
          </w:p>
          <w:p w:rsidR="00B12317" w:rsidRPr="00256C13" w:rsidRDefault="00B12317" w:rsidP="00625635">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B536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25635">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A787F">
              <w:rPr>
                <w:rFonts w:ascii="Arial" w:eastAsia="Cambria" w:hAnsi="Arial" w:cs="Arial"/>
                <w:b/>
                <w:sz w:val="22"/>
                <w:szCs w:val="22"/>
                <w:lang w:val="es-ES_tradnl" w:eastAsia="en-US"/>
              </w:rPr>
              <w:t>agosto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625635">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0A787F">
              <w:rPr>
                <w:rFonts w:ascii="Arial" w:eastAsia="Calibri" w:hAnsi="Arial" w:cs="Arial"/>
                <w:b/>
                <w:sz w:val="22"/>
                <w:szCs w:val="22"/>
              </w:rPr>
              <w:t>3</w:t>
            </w:r>
            <w:r w:rsidR="00625635">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84085F">
              <w:rPr>
                <w:rFonts w:ascii="Arial" w:eastAsia="Calibri" w:hAnsi="Arial" w:cs="Arial"/>
                <w:b/>
                <w:sz w:val="22"/>
                <w:szCs w:val="22"/>
              </w:rPr>
              <w:t>8</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4B5364">
              <w:rPr>
                <w:rFonts w:ascii="Arial" w:eastAsia="Calibri" w:hAnsi="Arial" w:cs="Arial"/>
                <w:b/>
                <w:sz w:val="22"/>
                <w:szCs w:val="22"/>
              </w:rPr>
              <w:t>2</w:t>
            </w:r>
            <w:r w:rsidR="00625635">
              <w:rPr>
                <w:rFonts w:ascii="Arial" w:eastAsia="Calibri" w:hAnsi="Arial" w:cs="Arial"/>
                <w:b/>
                <w:sz w:val="22"/>
                <w:szCs w:val="22"/>
              </w:rPr>
              <w:t>8</w:t>
            </w:r>
            <w:r w:rsidR="005A7222">
              <w:rPr>
                <w:rFonts w:ascii="Arial" w:eastAsia="Calibri" w:hAnsi="Arial" w:cs="Arial"/>
                <w:b/>
                <w:sz w:val="22"/>
                <w:szCs w:val="22"/>
              </w:rPr>
              <w:t xml:space="preserve"> de</w:t>
            </w:r>
            <w:r w:rsidR="000A787F">
              <w:rPr>
                <w:rFonts w:ascii="Arial" w:eastAsia="Calibri" w:hAnsi="Arial" w:cs="Arial"/>
                <w:b/>
                <w:sz w:val="22"/>
                <w:szCs w:val="22"/>
              </w:rPr>
              <w:t xml:space="preserve"> agosto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625635">
              <w:rPr>
                <w:rFonts w:ascii="Arial" w:eastAsia="Calibri" w:hAnsi="Arial" w:cs="Arial"/>
                <w:b/>
                <w:sz w:val="22"/>
                <w:szCs w:val="22"/>
              </w:rPr>
              <w:t xml:space="preserve"> </w:t>
            </w:r>
            <w:r w:rsidR="00625635" w:rsidRPr="00625635">
              <w:rPr>
                <w:rFonts w:ascii="Arial" w:eastAsia="Cambria" w:hAnsi="Arial" w:cs="Arial"/>
                <w:b/>
                <w:bCs/>
                <w:sz w:val="22"/>
                <w:szCs w:val="22"/>
                <w:lang w:val="es-CR" w:eastAsia="en-US"/>
              </w:rPr>
              <w:t>Medidas para la atención del Artículo 8 del Reglamento de Normalización Institucional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73395" w:rsidRDefault="00873395" w:rsidP="007742A1">
      <w:pPr>
        <w:jc w:val="both"/>
        <w:rPr>
          <w:rFonts w:ascii="Arial" w:eastAsia="Cambria" w:hAnsi="Arial" w:cs="Arial"/>
          <w:lang w:val="es-ES_tradnl" w:eastAsia="en-US"/>
        </w:rPr>
      </w:pPr>
    </w:p>
    <w:p w:rsidR="00873395" w:rsidRPr="00873395" w:rsidRDefault="00873395" w:rsidP="00873395">
      <w:pPr>
        <w:tabs>
          <w:tab w:val="left" w:pos="3070"/>
        </w:tabs>
        <w:contextualSpacing/>
        <w:jc w:val="both"/>
        <w:outlineLvl w:val="0"/>
        <w:rPr>
          <w:rFonts w:ascii="Arial" w:hAnsi="Arial" w:cs="Arial"/>
          <w:b/>
          <w:lang w:val="es-CR"/>
        </w:rPr>
      </w:pPr>
      <w:r w:rsidRPr="00873395">
        <w:rPr>
          <w:rFonts w:ascii="Arial" w:hAnsi="Arial" w:cs="Arial"/>
          <w:b/>
          <w:lang w:val="es-CR"/>
        </w:rPr>
        <w:t>RESULTANDO QUE:</w:t>
      </w:r>
    </w:p>
    <w:p w:rsidR="00873395" w:rsidRPr="00873395" w:rsidRDefault="00873395" w:rsidP="00873395">
      <w:pPr>
        <w:jc w:val="both"/>
        <w:rPr>
          <w:rFonts w:ascii="Arial" w:hAnsi="Arial" w:cs="Arial"/>
          <w:lang w:val="es-CR"/>
        </w:rPr>
      </w:pPr>
    </w:p>
    <w:p w:rsidR="00873395" w:rsidRPr="00873395" w:rsidRDefault="00873395" w:rsidP="00873395">
      <w:pPr>
        <w:numPr>
          <w:ilvl w:val="0"/>
          <w:numId w:val="8"/>
        </w:numPr>
        <w:ind w:left="360"/>
        <w:jc w:val="both"/>
        <w:rPr>
          <w:rFonts w:ascii="Arial" w:hAnsi="Arial" w:cs="Arial"/>
          <w:lang w:val="es-CR"/>
        </w:rPr>
      </w:pPr>
      <w:r w:rsidRPr="00873395">
        <w:rPr>
          <w:rFonts w:ascii="Arial" w:hAnsi="Arial" w:cs="Arial"/>
          <w:lang w:val="es-CR"/>
        </w:rPr>
        <w:t>El Reglamento de Normalización Institucional, con respecto a las funciones de la Asesoría Legal señala lo siguiente:</w:t>
      </w:r>
    </w:p>
    <w:p w:rsidR="00873395" w:rsidRPr="00873395" w:rsidRDefault="00873395" w:rsidP="00873395">
      <w:pPr>
        <w:ind w:left="360"/>
        <w:jc w:val="both"/>
        <w:rPr>
          <w:rFonts w:ascii="Arial" w:hAnsi="Arial" w:cs="Arial"/>
          <w:lang w:val="es-CR"/>
        </w:rPr>
      </w:pPr>
    </w:p>
    <w:p w:rsidR="00873395" w:rsidRPr="00873395" w:rsidRDefault="00873395" w:rsidP="00873395">
      <w:pPr>
        <w:ind w:left="742" w:right="689" w:firstLine="6"/>
        <w:jc w:val="both"/>
        <w:rPr>
          <w:rFonts w:ascii="Arial" w:hAnsi="Arial" w:cs="Arial"/>
          <w:i/>
          <w:sz w:val="20"/>
          <w:szCs w:val="20"/>
          <w:lang w:val="es-CR"/>
        </w:rPr>
      </w:pPr>
      <w:r w:rsidRPr="00873395">
        <w:rPr>
          <w:rFonts w:ascii="Arial" w:hAnsi="Arial" w:cs="Arial"/>
          <w:i/>
          <w:sz w:val="20"/>
          <w:szCs w:val="20"/>
          <w:lang w:val="es-CR"/>
        </w:rPr>
        <w:t>“Artículo 8 Funciones de la Oficina de Asesoría Legal</w:t>
      </w:r>
    </w:p>
    <w:p w:rsidR="00873395" w:rsidRPr="00873395" w:rsidRDefault="00873395" w:rsidP="00873395">
      <w:pPr>
        <w:ind w:left="742" w:right="689" w:firstLine="6"/>
        <w:jc w:val="both"/>
        <w:rPr>
          <w:rFonts w:ascii="Arial" w:hAnsi="Arial" w:cs="Arial"/>
          <w:i/>
          <w:sz w:val="20"/>
          <w:szCs w:val="20"/>
          <w:lang w:val="es-CR"/>
        </w:rPr>
      </w:pPr>
      <w:r w:rsidRPr="00873395">
        <w:rPr>
          <w:rFonts w:ascii="Arial" w:hAnsi="Arial" w:cs="Arial"/>
          <w:i/>
          <w:sz w:val="20"/>
          <w:szCs w:val="20"/>
          <w:lang w:val="es-CR"/>
        </w:rPr>
        <w:t>La Oficina de Asesoría Legal es la encargada de asistir, recomendar y asesorar en la elaboración, actualización, modificación y derogatoria de los reglamentos institucionales, para velar por el cumplimiento del bloque de legalidad de ellos.</w:t>
      </w:r>
    </w:p>
    <w:p w:rsidR="00873395" w:rsidRPr="00873395" w:rsidRDefault="00873395" w:rsidP="00873395">
      <w:pPr>
        <w:ind w:left="742" w:right="689" w:firstLine="6"/>
        <w:jc w:val="both"/>
        <w:rPr>
          <w:rFonts w:ascii="Arial" w:hAnsi="Arial" w:cs="Arial"/>
          <w:i/>
          <w:sz w:val="20"/>
          <w:szCs w:val="20"/>
          <w:lang w:val="es-CR"/>
        </w:rPr>
      </w:pPr>
      <w:r w:rsidRPr="00873395">
        <w:rPr>
          <w:rFonts w:ascii="Arial" w:hAnsi="Arial" w:cs="Arial"/>
          <w:i/>
          <w:sz w:val="20"/>
          <w:szCs w:val="20"/>
          <w:lang w:val="es-CR"/>
        </w:rPr>
        <w:t>La Asesoría Legal es la responsable de:</w:t>
      </w:r>
    </w:p>
    <w:p w:rsidR="00873395" w:rsidRPr="00873395" w:rsidRDefault="00873395" w:rsidP="00873395">
      <w:pPr>
        <w:numPr>
          <w:ilvl w:val="0"/>
          <w:numId w:val="20"/>
        </w:numPr>
        <w:ind w:right="689"/>
        <w:jc w:val="both"/>
        <w:rPr>
          <w:rFonts w:ascii="Arial" w:hAnsi="Arial" w:cs="Arial"/>
          <w:i/>
          <w:sz w:val="20"/>
          <w:szCs w:val="20"/>
          <w:lang w:val="es-CR"/>
        </w:rPr>
      </w:pPr>
      <w:r w:rsidRPr="00873395">
        <w:rPr>
          <w:rFonts w:ascii="Arial" w:hAnsi="Arial" w:cs="Arial"/>
          <w:i/>
          <w:sz w:val="20"/>
          <w:szCs w:val="20"/>
          <w:lang w:val="es-CR"/>
        </w:rPr>
        <w:t>Velar porque las normas o reglamentos a aprobar estén en armonía con la normativa institucional ya establecida y el ordenamiento jurídico nacional.</w:t>
      </w:r>
    </w:p>
    <w:p w:rsidR="00873395" w:rsidRPr="00873395" w:rsidRDefault="00873395" w:rsidP="00873395">
      <w:pPr>
        <w:numPr>
          <w:ilvl w:val="0"/>
          <w:numId w:val="20"/>
        </w:numPr>
        <w:ind w:right="689"/>
        <w:jc w:val="both"/>
        <w:rPr>
          <w:rFonts w:ascii="Arial" w:hAnsi="Arial" w:cs="Arial"/>
          <w:i/>
          <w:sz w:val="20"/>
          <w:szCs w:val="20"/>
          <w:lang w:val="es-CR"/>
        </w:rPr>
      </w:pPr>
      <w:r w:rsidRPr="00873395">
        <w:rPr>
          <w:rFonts w:ascii="Arial" w:hAnsi="Arial" w:cs="Arial"/>
          <w:i/>
          <w:sz w:val="20"/>
          <w:szCs w:val="20"/>
          <w:lang w:val="es-CR"/>
        </w:rPr>
        <w:t>Emitir dictamen jurídico correspondiente sobre las propuestas de normativa general y específica.</w:t>
      </w:r>
    </w:p>
    <w:p w:rsidR="00873395" w:rsidRPr="00873395" w:rsidRDefault="00873395" w:rsidP="00873395">
      <w:pPr>
        <w:numPr>
          <w:ilvl w:val="0"/>
          <w:numId w:val="20"/>
        </w:numPr>
        <w:ind w:right="689"/>
        <w:jc w:val="both"/>
        <w:rPr>
          <w:rFonts w:ascii="Arial" w:hAnsi="Arial" w:cs="Arial"/>
          <w:i/>
          <w:sz w:val="20"/>
          <w:szCs w:val="20"/>
          <w:lang w:val="es-CR"/>
        </w:rPr>
      </w:pPr>
      <w:r w:rsidRPr="00873395">
        <w:rPr>
          <w:rFonts w:ascii="Arial" w:hAnsi="Arial" w:cs="Arial"/>
          <w:i/>
          <w:sz w:val="20"/>
          <w:szCs w:val="20"/>
          <w:lang w:val="es-CR"/>
        </w:rPr>
        <w:t>Llevar un registro actualizado en un sistema de información de los reglamentos específicos y generales vigentes en el ITCR, que sea de acceso a toda la comunidad institucional.</w:t>
      </w:r>
    </w:p>
    <w:p w:rsidR="00873395" w:rsidRPr="00873395" w:rsidRDefault="00873395" w:rsidP="00873395">
      <w:pPr>
        <w:numPr>
          <w:ilvl w:val="0"/>
          <w:numId w:val="20"/>
        </w:numPr>
        <w:ind w:right="689"/>
        <w:jc w:val="both"/>
        <w:rPr>
          <w:rFonts w:ascii="Arial" w:hAnsi="Arial" w:cs="Arial"/>
          <w:i/>
          <w:sz w:val="20"/>
          <w:szCs w:val="20"/>
          <w:lang w:val="es-CR"/>
        </w:rPr>
      </w:pPr>
      <w:r w:rsidRPr="00873395">
        <w:rPr>
          <w:rFonts w:ascii="Arial" w:hAnsi="Arial" w:cs="Arial"/>
          <w:i/>
          <w:sz w:val="20"/>
          <w:szCs w:val="20"/>
          <w:lang w:val="es-CR"/>
        </w:rPr>
        <w:t>Publicar en la Gaceta los reglamentos de carácter general</w:t>
      </w:r>
    </w:p>
    <w:p w:rsidR="00873395" w:rsidRPr="00873395" w:rsidRDefault="00873395" w:rsidP="00873395">
      <w:pPr>
        <w:numPr>
          <w:ilvl w:val="0"/>
          <w:numId w:val="20"/>
        </w:numPr>
        <w:ind w:right="689"/>
        <w:jc w:val="both"/>
        <w:rPr>
          <w:rFonts w:ascii="Arial" w:hAnsi="Arial" w:cs="Arial"/>
          <w:i/>
          <w:sz w:val="20"/>
          <w:szCs w:val="20"/>
          <w:lang w:val="es-CR"/>
        </w:rPr>
      </w:pPr>
      <w:r w:rsidRPr="00873395">
        <w:rPr>
          <w:rFonts w:ascii="Arial" w:hAnsi="Arial" w:cs="Arial"/>
          <w:i/>
          <w:sz w:val="20"/>
          <w:szCs w:val="20"/>
          <w:lang w:val="es-CR"/>
        </w:rPr>
        <w:t>Llevar un registro de la normativa nacional, en tanto pueda tener incidencia sobre la normativa interna e informar de ello a las instancias correspondientes.”</w:t>
      </w:r>
    </w:p>
    <w:p w:rsidR="00873395" w:rsidRPr="00873395" w:rsidRDefault="00873395" w:rsidP="00873395">
      <w:pPr>
        <w:jc w:val="both"/>
        <w:rPr>
          <w:rFonts w:ascii="Arial" w:hAnsi="Arial" w:cs="Arial"/>
          <w:lang w:val="es-CR"/>
        </w:rPr>
      </w:pPr>
    </w:p>
    <w:p w:rsidR="00873395" w:rsidRPr="00873395" w:rsidRDefault="00873395" w:rsidP="00873395">
      <w:pPr>
        <w:numPr>
          <w:ilvl w:val="0"/>
          <w:numId w:val="8"/>
        </w:numPr>
        <w:ind w:left="360"/>
        <w:jc w:val="both"/>
        <w:rPr>
          <w:rFonts w:ascii="Arial" w:hAnsi="Arial" w:cs="Arial"/>
          <w:lang w:val="es-CR"/>
        </w:rPr>
      </w:pPr>
      <w:r w:rsidRPr="00873395">
        <w:rPr>
          <w:rFonts w:ascii="Arial" w:hAnsi="Arial" w:cs="Arial"/>
          <w:lang w:val="es-CR"/>
        </w:rPr>
        <w:t>El “Plan Remedial Auditoría Externa Estados Financieros Consolidado 2016-2017”, aprobado por el Consejo Institucional, en la Sesión No. 3099, Artículo 13, describe el siguiente hallazgo, las recomendaciones y las acciones a desarrollar:</w:t>
      </w:r>
    </w:p>
    <w:p w:rsidR="00873395" w:rsidRPr="00873395" w:rsidRDefault="00873395" w:rsidP="00873395">
      <w:pPr>
        <w:ind w:left="360"/>
        <w:jc w:val="both"/>
        <w:rPr>
          <w:rFonts w:ascii="Arial" w:hAnsi="Arial" w:cs="Arial"/>
          <w:lang w:val="es-CR"/>
        </w:rPr>
      </w:pPr>
    </w:p>
    <w:tbl>
      <w:tblPr>
        <w:tblW w:w="10570" w:type="dxa"/>
        <w:jc w:val="center"/>
        <w:tblCellMar>
          <w:left w:w="70" w:type="dxa"/>
          <w:right w:w="70" w:type="dxa"/>
        </w:tblCellMar>
        <w:tblLook w:val="04A0" w:firstRow="1" w:lastRow="0" w:firstColumn="1" w:lastColumn="0" w:noHBand="0" w:noVBand="1"/>
      </w:tblPr>
      <w:tblGrid>
        <w:gridCol w:w="1645"/>
        <w:gridCol w:w="1792"/>
        <w:gridCol w:w="1661"/>
        <w:gridCol w:w="1879"/>
        <w:gridCol w:w="1140"/>
        <w:gridCol w:w="1186"/>
        <w:gridCol w:w="1267"/>
      </w:tblGrid>
      <w:tr w:rsidR="00873395" w:rsidRPr="00873395" w:rsidTr="00B20B79">
        <w:trPr>
          <w:trHeight w:val="615"/>
          <w:tblHeader/>
          <w:jc w:val="center"/>
        </w:trPr>
        <w:tc>
          <w:tcPr>
            <w:tcW w:w="164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 xml:space="preserve">Hallazgo Núm. </w:t>
            </w:r>
          </w:p>
        </w:tc>
        <w:tc>
          <w:tcPr>
            <w:tcW w:w="1792" w:type="dxa"/>
            <w:tcBorders>
              <w:top w:val="single" w:sz="4" w:space="0" w:color="auto"/>
              <w:left w:val="nil"/>
              <w:bottom w:val="single" w:sz="4" w:space="0" w:color="auto"/>
              <w:right w:val="single" w:sz="4" w:space="0" w:color="auto"/>
            </w:tcBorders>
            <w:shd w:val="clear" w:color="000000" w:fill="BDD6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Condiciones</w:t>
            </w:r>
          </w:p>
        </w:tc>
        <w:tc>
          <w:tcPr>
            <w:tcW w:w="1661" w:type="dxa"/>
            <w:tcBorders>
              <w:top w:val="single" w:sz="4" w:space="0" w:color="auto"/>
              <w:left w:val="nil"/>
              <w:bottom w:val="single" w:sz="4" w:space="0" w:color="auto"/>
              <w:right w:val="single" w:sz="4" w:space="0" w:color="auto"/>
            </w:tcBorders>
            <w:shd w:val="clear" w:color="000000" w:fill="BDD6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Recomendaciones</w:t>
            </w:r>
          </w:p>
        </w:tc>
        <w:tc>
          <w:tcPr>
            <w:tcW w:w="1879" w:type="dxa"/>
            <w:tcBorders>
              <w:top w:val="single" w:sz="4" w:space="0" w:color="auto"/>
              <w:left w:val="nil"/>
              <w:bottom w:val="single" w:sz="4" w:space="0" w:color="auto"/>
              <w:right w:val="single" w:sz="4" w:space="0" w:color="auto"/>
            </w:tcBorders>
            <w:shd w:val="clear" w:color="000000" w:fill="BDD6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Acciones a desarrollar</w:t>
            </w:r>
          </w:p>
        </w:tc>
        <w:tc>
          <w:tcPr>
            <w:tcW w:w="1140" w:type="dxa"/>
            <w:tcBorders>
              <w:top w:val="single" w:sz="4" w:space="0" w:color="auto"/>
              <w:left w:val="nil"/>
              <w:bottom w:val="single" w:sz="4" w:space="0" w:color="auto"/>
              <w:right w:val="single" w:sz="4" w:space="0" w:color="auto"/>
            </w:tcBorders>
            <w:shd w:val="clear" w:color="000000" w:fill="BDD6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Fecha de Finalización</w:t>
            </w:r>
          </w:p>
        </w:tc>
        <w:tc>
          <w:tcPr>
            <w:tcW w:w="1186" w:type="dxa"/>
            <w:tcBorders>
              <w:top w:val="single" w:sz="4" w:space="0" w:color="auto"/>
              <w:left w:val="nil"/>
              <w:bottom w:val="single" w:sz="4" w:space="0" w:color="auto"/>
              <w:right w:val="single" w:sz="4" w:space="0" w:color="auto"/>
            </w:tcBorders>
            <w:shd w:val="clear" w:color="000000" w:fill="BDD6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Producto a obtener</w:t>
            </w:r>
          </w:p>
        </w:tc>
        <w:tc>
          <w:tcPr>
            <w:tcW w:w="1267" w:type="dxa"/>
            <w:tcBorders>
              <w:top w:val="single" w:sz="4" w:space="0" w:color="auto"/>
              <w:left w:val="nil"/>
              <w:bottom w:val="single" w:sz="4" w:space="0" w:color="auto"/>
              <w:right w:val="single" w:sz="4" w:space="0" w:color="auto"/>
            </w:tcBorders>
            <w:shd w:val="clear" w:color="000000" w:fill="BDD6EE"/>
            <w:vAlign w:val="center"/>
            <w:hideMark/>
          </w:tcPr>
          <w:p w:rsidR="00873395" w:rsidRPr="00873395" w:rsidRDefault="00873395" w:rsidP="00873395">
            <w:pPr>
              <w:jc w:val="center"/>
              <w:rPr>
                <w:b/>
                <w:bCs/>
                <w:i/>
                <w:color w:val="000000"/>
                <w:sz w:val="18"/>
                <w:szCs w:val="16"/>
                <w:lang w:val="es-CR" w:eastAsia="es-CR"/>
              </w:rPr>
            </w:pPr>
            <w:r w:rsidRPr="00873395">
              <w:rPr>
                <w:b/>
                <w:bCs/>
                <w:color w:val="000000"/>
                <w:sz w:val="18"/>
                <w:szCs w:val="16"/>
                <w:lang w:val="es-CR" w:eastAsia="es-CR"/>
              </w:rPr>
              <w:t>Responsable</w:t>
            </w:r>
          </w:p>
        </w:tc>
      </w:tr>
      <w:tr w:rsidR="00873395" w:rsidRPr="00873395" w:rsidTr="00B20B79">
        <w:trPr>
          <w:trHeight w:val="960"/>
          <w:jc w:val="center"/>
        </w:trPr>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b/>
                <w:bCs/>
                <w:color w:val="000000"/>
                <w:sz w:val="18"/>
                <w:szCs w:val="16"/>
                <w:lang w:val="es-CR" w:eastAsia="es-CR"/>
              </w:rPr>
              <w:t>HALLAZGO 1</w:t>
            </w:r>
            <w:r w:rsidRPr="00873395">
              <w:rPr>
                <w:b/>
                <w:bCs/>
                <w:color w:val="000000"/>
                <w:sz w:val="18"/>
                <w:szCs w:val="16"/>
                <w:lang w:val="es-CR" w:eastAsia="es-CR"/>
              </w:rPr>
              <w:br/>
            </w:r>
            <w:r w:rsidRPr="00873395">
              <w:rPr>
                <w:color w:val="000000"/>
                <w:sz w:val="18"/>
                <w:szCs w:val="16"/>
                <w:lang w:val="es-CR" w:eastAsia="es-CR"/>
              </w:rPr>
              <w:t xml:space="preserve"> EXISTEN REGLAMENTOS SIN FECHA DE ACTUALIZACIÓN O REVISIÓN RECIENTE.</w:t>
            </w:r>
          </w:p>
        </w:tc>
        <w:tc>
          <w:tcPr>
            <w:tcW w:w="1792" w:type="dxa"/>
            <w:vMerge w:val="restart"/>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t xml:space="preserve">Al realizar los cuestionarios de control interno y mediante la lectura de los distintos reglamentos vigentes de la entidad observamos que no existe evidencia que la Administración haya </w:t>
            </w:r>
            <w:r w:rsidRPr="00873395">
              <w:rPr>
                <w:color w:val="000000"/>
                <w:sz w:val="18"/>
                <w:szCs w:val="16"/>
                <w:lang w:val="es-CR" w:eastAsia="es-CR"/>
              </w:rPr>
              <w:lastRenderedPageBreak/>
              <w:t>revisado y actualizado recientemente estos documentos.</w:t>
            </w:r>
          </w:p>
        </w:tc>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lastRenderedPageBreak/>
              <w:t xml:space="preserve">Revisar, actualizar y elevar al Consejo Institucional por lo menos una vez al año, los distintos reglamentos para su aprobación; y dejar evidencia en dicho documento la fecha de actualización o </w:t>
            </w:r>
            <w:r w:rsidRPr="00873395">
              <w:rPr>
                <w:color w:val="000000"/>
                <w:sz w:val="18"/>
                <w:szCs w:val="16"/>
                <w:lang w:val="es-CR" w:eastAsia="es-CR"/>
              </w:rPr>
              <w:lastRenderedPageBreak/>
              <w:t>última revisión efectuada por el Instituto Tecnológico de Costa Rica.</w:t>
            </w:r>
          </w:p>
        </w:tc>
        <w:tc>
          <w:tcPr>
            <w:tcW w:w="1879"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lastRenderedPageBreak/>
              <w:t xml:space="preserve">1.1 Realizar inventario de reglamentos de la Vicerrectoría de Administración con fechas de creación y actualización                    </w:t>
            </w:r>
          </w:p>
        </w:tc>
        <w:tc>
          <w:tcPr>
            <w:tcW w:w="1140"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15/12/2018</w:t>
            </w:r>
          </w:p>
        </w:tc>
        <w:tc>
          <w:tcPr>
            <w:tcW w:w="1186"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Inventario normativa</w:t>
            </w:r>
          </w:p>
        </w:tc>
        <w:tc>
          <w:tcPr>
            <w:tcW w:w="1267"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Silvia Watson Gonzalo Varela</w:t>
            </w:r>
          </w:p>
        </w:tc>
      </w:tr>
      <w:tr w:rsidR="00873395" w:rsidRPr="00873395" w:rsidTr="00B20B79">
        <w:trPr>
          <w:trHeight w:val="460"/>
          <w:jc w:val="center"/>
        </w:trPr>
        <w:tc>
          <w:tcPr>
            <w:tcW w:w="1645" w:type="dxa"/>
            <w:vMerge/>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rPr>
                <w:i/>
                <w:color w:val="000000"/>
                <w:sz w:val="18"/>
                <w:szCs w:val="16"/>
                <w:lang w:val="es-CR" w:eastAsia="es-CR"/>
              </w:rPr>
            </w:pPr>
          </w:p>
        </w:tc>
        <w:tc>
          <w:tcPr>
            <w:tcW w:w="1792"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661"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879"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t xml:space="preserve">1.2 Revisión y recomendación de modificación de la normativa                                                </w:t>
            </w:r>
          </w:p>
        </w:tc>
        <w:tc>
          <w:tcPr>
            <w:tcW w:w="1140"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30/6/2019</w:t>
            </w:r>
          </w:p>
        </w:tc>
        <w:tc>
          <w:tcPr>
            <w:tcW w:w="1186"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Normativa actualizada</w:t>
            </w:r>
          </w:p>
        </w:tc>
        <w:tc>
          <w:tcPr>
            <w:tcW w:w="1267"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Silvia Watson Humberto Villalta</w:t>
            </w:r>
          </w:p>
        </w:tc>
      </w:tr>
      <w:tr w:rsidR="00873395" w:rsidRPr="00873395" w:rsidTr="00B20B79">
        <w:trPr>
          <w:trHeight w:val="690"/>
          <w:jc w:val="center"/>
        </w:trPr>
        <w:tc>
          <w:tcPr>
            <w:tcW w:w="1645" w:type="dxa"/>
            <w:vMerge/>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rPr>
                <w:i/>
                <w:color w:val="000000"/>
                <w:sz w:val="18"/>
                <w:szCs w:val="16"/>
                <w:lang w:val="es-CR" w:eastAsia="es-CR"/>
              </w:rPr>
            </w:pPr>
          </w:p>
        </w:tc>
        <w:tc>
          <w:tcPr>
            <w:tcW w:w="1792"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661"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879"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t xml:space="preserve">1.3 Realizar inventario de reglamentos institucionales con fechas de creación y actualización                    </w:t>
            </w:r>
          </w:p>
        </w:tc>
        <w:tc>
          <w:tcPr>
            <w:tcW w:w="1140"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30/3/2019</w:t>
            </w:r>
          </w:p>
        </w:tc>
        <w:tc>
          <w:tcPr>
            <w:tcW w:w="1186"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 xml:space="preserve">Inventario de reglamentos institucionales                              </w:t>
            </w:r>
          </w:p>
        </w:tc>
        <w:tc>
          <w:tcPr>
            <w:tcW w:w="1267"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Oficina de Planificación Institucional</w:t>
            </w:r>
          </w:p>
        </w:tc>
      </w:tr>
      <w:tr w:rsidR="00873395" w:rsidRPr="00873395" w:rsidTr="00B20B79">
        <w:trPr>
          <w:trHeight w:val="1610"/>
          <w:jc w:val="center"/>
        </w:trPr>
        <w:tc>
          <w:tcPr>
            <w:tcW w:w="1645" w:type="dxa"/>
            <w:vMerge/>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rPr>
                <w:i/>
                <w:color w:val="000000"/>
                <w:sz w:val="18"/>
                <w:szCs w:val="16"/>
                <w:lang w:val="es-CR" w:eastAsia="es-CR"/>
              </w:rPr>
            </w:pPr>
          </w:p>
        </w:tc>
        <w:tc>
          <w:tcPr>
            <w:tcW w:w="1792"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661"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879"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t xml:space="preserve">1.4 Identificar los 3 reglamentos más urgentes de revisar y actualizar, desde la perspectiva de cada Vicerrector, Director de Campus y Centros Académicos con el apoyo del Consejo de Vicerrectoría y Asesor según corresponda.                                                  </w:t>
            </w:r>
          </w:p>
        </w:tc>
        <w:tc>
          <w:tcPr>
            <w:tcW w:w="1140"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30/6/2019</w:t>
            </w:r>
          </w:p>
        </w:tc>
        <w:tc>
          <w:tcPr>
            <w:tcW w:w="1186"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Listado de reglamentos  priorizados</w:t>
            </w:r>
          </w:p>
        </w:tc>
        <w:tc>
          <w:tcPr>
            <w:tcW w:w="1267"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Vicerrectores, Consejos de Vicerrectoría y Consejos Asesores de Campus y Centros Académicos</w:t>
            </w:r>
          </w:p>
        </w:tc>
      </w:tr>
      <w:tr w:rsidR="00873395" w:rsidRPr="00873395" w:rsidTr="00B20B79">
        <w:trPr>
          <w:trHeight w:val="690"/>
          <w:jc w:val="center"/>
        </w:trPr>
        <w:tc>
          <w:tcPr>
            <w:tcW w:w="1645" w:type="dxa"/>
            <w:vMerge/>
            <w:tcBorders>
              <w:top w:val="nil"/>
              <w:left w:val="single" w:sz="4" w:space="0" w:color="auto"/>
              <w:bottom w:val="single" w:sz="4" w:space="0" w:color="auto"/>
              <w:right w:val="single" w:sz="4" w:space="0" w:color="auto"/>
            </w:tcBorders>
            <w:shd w:val="clear" w:color="auto" w:fill="auto"/>
            <w:vAlign w:val="center"/>
            <w:hideMark/>
          </w:tcPr>
          <w:p w:rsidR="00873395" w:rsidRPr="00873395" w:rsidRDefault="00873395" w:rsidP="00873395">
            <w:pPr>
              <w:rPr>
                <w:i/>
                <w:color w:val="000000"/>
                <w:sz w:val="18"/>
                <w:szCs w:val="16"/>
                <w:lang w:val="es-CR" w:eastAsia="es-CR"/>
              </w:rPr>
            </w:pPr>
          </w:p>
        </w:tc>
        <w:tc>
          <w:tcPr>
            <w:tcW w:w="1792"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661" w:type="dxa"/>
            <w:vMerge/>
            <w:tcBorders>
              <w:top w:val="nil"/>
              <w:left w:val="single" w:sz="4" w:space="0" w:color="auto"/>
              <w:bottom w:val="single" w:sz="4" w:space="0" w:color="auto"/>
              <w:right w:val="single" w:sz="4" w:space="0" w:color="auto"/>
            </w:tcBorders>
            <w:vAlign w:val="center"/>
            <w:hideMark/>
          </w:tcPr>
          <w:p w:rsidR="00873395" w:rsidRPr="00873395" w:rsidRDefault="00873395" w:rsidP="00873395">
            <w:pPr>
              <w:rPr>
                <w:i/>
                <w:color w:val="000000"/>
                <w:sz w:val="18"/>
                <w:szCs w:val="16"/>
                <w:lang w:val="es-CR" w:eastAsia="es-CR"/>
              </w:rPr>
            </w:pPr>
          </w:p>
        </w:tc>
        <w:tc>
          <w:tcPr>
            <w:tcW w:w="1879"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both"/>
              <w:rPr>
                <w:i/>
                <w:color w:val="000000"/>
                <w:sz w:val="18"/>
                <w:szCs w:val="16"/>
                <w:lang w:val="es-CR" w:eastAsia="es-CR"/>
              </w:rPr>
            </w:pPr>
            <w:r w:rsidRPr="00873395">
              <w:rPr>
                <w:color w:val="000000"/>
                <w:sz w:val="18"/>
                <w:szCs w:val="16"/>
                <w:lang w:val="es-CR" w:eastAsia="es-CR"/>
              </w:rPr>
              <w:t>1.5 Definir mecanismo de análisis y actualización de los reglamentos priorizados</w:t>
            </w:r>
          </w:p>
        </w:tc>
        <w:tc>
          <w:tcPr>
            <w:tcW w:w="1140"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30/9/2019</w:t>
            </w:r>
          </w:p>
        </w:tc>
        <w:tc>
          <w:tcPr>
            <w:tcW w:w="1186"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Propuesta para la actualización de los reglamentos</w:t>
            </w:r>
          </w:p>
        </w:tc>
        <w:tc>
          <w:tcPr>
            <w:tcW w:w="1267" w:type="dxa"/>
            <w:tcBorders>
              <w:top w:val="nil"/>
              <w:left w:val="nil"/>
              <w:bottom w:val="single" w:sz="4" w:space="0" w:color="auto"/>
              <w:right w:val="single" w:sz="4" w:space="0" w:color="auto"/>
            </w:tcBorders>
            <w:shd w:val="clear" w:color="auto" w:fill="auto"/>
            <w:vAlign w:val="center"/>
            <w:hideMark/>
          </w:tcPr>
          <w:p w:rsidR="00873395" w:rsidRPr="00873395" w:rsidRDefault="00873395" w:rsidP="00873395">
            <w:pPr>
              <w:jc w:val="center"/>
              <w:rPr>
                <w:i/>
                <w:color w:val="000000"/>
                <w:sz w:val="18"/>
                <w:szCs w:val="16"/>
                <w:lang w:val="es-CR" w:eastAsia="es-CR"/>
              </w:rPr>
            </w:pPr>
            <w:r w:rsidRPr="00873395">
              <w:rPr>
                <w:color w:val="000000"/>
                <w:sz w:val="18"/>
                <w:szCs w:val="16"/>
                <w:lang w:val="es-CR" w:eastAsia="es-CR"/>
              </w:rPr>
              <w:t>Comisión de Planificación y Administración</w:t>
            </w:r>
          </w:p>
        </w:tc>
      </w:tr>
    </w:tbl>
    <w:p w:rsidR="00873395" w:rsidRPr="00873395" w:rsidRDefault="00873395" w:rsidP="00873395">
      <w:pPr>
        <w:jc w:val="both"/>
        <w:rPr>
          <w:rFonts w:ascii="Arial" w:hAnsi="Arial" w:cs="Arial"/>
          <w:lang w:val="es-CR"/>
        </w:rPr>
      </w:pPr>
    </w:p>
    <w:p w:rsidR="00873395" w:rsidRPr="00873395" w:rsidRDefault="00873395" w:rsidP="00873395">
      <w:pPr>
        <w:jc w:val="both"/>
        <w:rPr>
          <w:rFonts w:ascii="Arial" w:hAnsi="Arial" w:cs="Arial"/>
          <w:lang w:val="es-CR"/>
        </w:rPr>
      </w:pPr>
    </w:p>
    <w:p w:rsidR="00873395" w:rsidRPr="00873395" w:rsidRDefault="00873395" w:rsidP="00873395">
      <w:pPr>
        <w:numPr>
          <w:ilvl w:val="0"/>
          <w:numId w:val="8"/>
        </w:numPr>
        <w:ind w:left="360"/>
        <w:jc w:val="both"/>
        <w:rPr>
          <w:rFonts w:ascii="Arial" w:hAnsi="Arial" w:cs="Arial"/>
          <w:lang w:val="es-CR"/>
        </w:rPr>
      </w:pPr>
      <w:r w:rsidRPr="00873395">
        <w:rPr>
          <w:rFonts w:ascii="Arial" w:hAnsi="Arial" w:cs="Arial"/>
          <w:lang w:val="es-CR"/>
        </w:rPr>
        <w:t>Mediante memorando OPI-181-2019, la MAU Tatiana Fernández Martín, Directora de la Oficina de Planificación, dirigido al Dr. Julio César Calvo Alvarado, Presidente del Consejo Institucional, remite el Inventario de reglamentos institucionales, solicitado como producto en el acuerdo descrito en el resultando anterior, a la vez señala una serie de inconsistencias que deben ajustarse en el Sistema de Reglamentos, por lo que solicita lo siguiente:</w:t>
      </w:r>
    </w:p>
    <w:p w:rsidR="00873395" w:rsidRPr="00873395" w:rsidRDefault="00873395" w:rsidP="00873395">
      <w:pPr>
        <w:ind w:left="360"/>
        <w:jc w:val="both"/>
        <w:rPr>
          <w:rFonts w:ascii="Arial" w:hAnsi="Arial" w:cs="Arial"/>
          <w:lang w:val="es-CR"/>
        </w:rPr>
      </w:pPr>
    </w:p>
    <w:p w:rsidR="00873395" w:rsidRPr="00873395" w:rsidRDefault="00873395" w:rsidP="00873395">
      <w:pPr>
        <w:ind w:left="742" w:right="689" w:firstLine="6"/>
        <w:jc w:val="both"/>
        <w:rPr>
          <w:rFonts w:ascii="Arial" w:hAnsi="Arial" w:cs="Arial"/>
          <w:i/>
          <w:sz w:val="20"/>
          <w:szCs w:val="20"/>
          <w:lang w:val="es-CR"/>
        </w:rPr>
      </w:pPr>
      <w:r w:rsidRPr="00873395">
        <w:rPr>
          <w:rFonts w:ascii="Arial" w:hAnsi="Arial" w:cs="Arial"/>
          <w:i/>
          <w:sz w:val="20"/>
          <w:szCs w:val="20"/>
          <w:lang w:val="es-CR"/>
        </w:rPr>
        <w:t xml:space="preserve">“…se solicita encomendar a la Asesoría Legal realizar la incorporación de la normativa faltante y eliminación de la que está derogada, con el fin de dar cumplimiento al artículo 8 del Reglamento de Normalización Institucional el </w:t>
      </w:r>
      <w:proofErr w:type="gramStart"/>
      <w:r w:rsidRPr="00873395">
        <w:rPr>
          <w:rFonts w:ascii="Arial" w:hAnsi="Arial" w:cs="Arial"/>
          <w:i/>
          <w:sz w:val="20"/>
          <w:szCs w:val="20"/>
          <w:lang w:val="es-CR"/>
        </w:rPr>
        <w:t>cual  dice</w:t>
      </w:r>
      <w:proofErr w:type="gramEnd"/>
      <w:r w:rsidRPr="00873395">
        <w:rPr>
          <w:rFonts w:ascii="Arial" w:hAnsi="Arial" w:cs="Arial"/>
          <w:i/>
          <w:sz w:val="20"/>
          <w:szCs w:val="20"/>
          <w:lang w:val="es-CR"/>
        </w:rPr>
        <w:t>: “Llevar un registro actualizado en un sistema de información de los  reglamentos específicos y generales vigentes en el ITCR, que sea de acceso a toda la comunidad institucional”.</w:t>
      </w:r>
    </w:p>
    <w:p w:rsidR="00873395" w:rsidRPr="00873395" w:rsidRDefault="00873395" w:rsidP="00873395">
      <w:pPr>
        <w:ind w:left="360"/>
        <w:jc w:val="both"/>
        <w:rPr>
          <w:rFonts w:ascii="Arial" w:hAnsi="Arial" w:cs="Arial"/>
          <w:lang w:val="es-CR"/>
        </w:rPr>
      </w:pPr>
    </w:p>
    <w:p w:rsidR="00873395" w:rsidRPr="00873395" w:rsidRDefault="00873395" w:rsidP="00873395">
      <w:pPr>
        <w:numPr>
          <w:ilvl w:val="0"/>
          <w:numId w:val="8"/>
        </w:numPr>
        <w:ind w:left="360"/>
        <w:jc w:val="both"/>
        <w:rPr>
          <w:rFonts w:ascii="Arial" w:hAnsi="Arial" w:cs="Arial"/>
          <w:lang w:val="es-CR"/>
        </w:rPr>
      </w:pPr>
      <w:r w:rsidRPr="00873395">
        <w:rPr>
          <w:rFonts w:ascii="Arial" w:hAnsi="Arial" w:cs="Arial"/>
          <w:lang w:val="es-CR"/>
        </w:rPr>
        <w:t>En memorando SCI-311-2019, remitido por el MAE. Nelson Ortega Jiménez, Coordinador de la Comisión de Planificación y Administración, se solicita a la MAE. Ana Damaris Quesada Murillo, Directora Ejecutiva de la Secretaría del Consejo Institucional, lo siguiente:</w:t>
      </w:r>
    </w:p>
    <w:p w:rsidR="00873395" w:rsidRPr="00873395" w:rsidRDefault="00873395" w:rsidP="00873395">
      <w:pPr>
        <w:autoSpaceDE w:val="0"/>
        <w:autoSpaceDN w:val="0"/>
        <w:adjustRightInd w:val="0"/>
        <w:rPr>
          <w:rFonts w:ascii="Arial" w:hAnsi="Arial" w:cs="Arial"/>
          <w:color w:val="000000"/>
          <w:lang w:val="es-ES_tradnl" w:eastAsia="es-CR"/>
        </w:rPr>
      </w:pPr>
    </w:p>
    <w:p w:rsidR="00873395" w:rsidRPr="00873395" w:rsidRDefault="00873395" w:rsidP="00873395">
      <w:pPr>
        <w:ind w:left="742" w:right="689" w:firstLine="6"/>
        <w:jc w:val="both"/>
        <w:rPr>
          <w:rFonts w:ascii="Arial" w:hAnsi="Arial" w:cs="Arial"/>
          <w:i/>
          <w:sz w:val="20"/>
          <w:szCs w:val="20"/>
          <w:lang w:val="es-CR"/>
        </w:rPr>
      </w:pPr>
      <w:r w:rsidRPr="00873395">
        <w:rPr>
          <w:rFonts w:ascii="Arial" w:hAnsi="Arial" w:cs="Arial"/>
          <w:color w:val="000000"/>
          <w:lang w:val="es-ES_tradnl" w:eastAsia="es-CR"/>
        </w:rPr>
        <w:t>“…</w:t>
      </w:r>
      <w:r w:rsidRPr="00873395">
        <w:rPr>
          <w:rFonts w:ascii="Arial" w:hAnsi="Arial" w:cs="Arial"/>
          <w:i/>
          <w:sz w:val="20"/>
          <w:szCs w:val="20"/>
          <w:lang w:val="es-CR"/>
        </w:rPr>
        <w:t xml:space="preserve">verificar lo señalado por la Oficina de Planificación Institucional en el oficio de referencia, para determinar qué aspectos ya han sido corregidos, identificar cuales aspectos podrán ser atendidos por la Secretaría del Consejo Institucional, cuales, por la Asesoría Legal, y en caso de ser necesario, los aspectos que deban ser sometidas a discusión por parte del Consejo Institucional.” </w:t>
      </w:r>
    </w:p>
    <w:p w:rsidR="00873395" w:rsidRPr="00873395" w:rsidRDefault="00873395" w:rsidP="00873395">
      <w:pPr>
        <w:ind w:left="360"/>
        <w:jc w:val="both"/>
        <w:rPr>
          <w:rFonts w:ascii="Arial" w:hAnsi="Arial" w:cs="Arial"/>
          <w:lang w:val="es-CR"/>
        </w:rPr>
      </w:pPr>
    </w:p>
    <w:p w:rsidR="00873395" w:rsidRPr="00873395" w:rsidRDefault="00873395" w:rsidP="00873395">
      <w:pPr>
        <w:numPr>
          <w:ilvl w:val="0"/>
          <w:numId w:val="8"/>
        </w:numPr>
        <w:ind w:left="360"/>
        <w:jc w:val="both"/>
        <w:rPr>
          <w:rFonts w:ascii="Arial" w:hAnsi="Arial" w:cs="Arial"/>
          <w:lang w:val="es-CR"/>
        </w:rPr>
      </w:pPr>
      <w:r w:rsidRPr="00873395">
        <w:rPr>
          <w:rFonts w:ascii="Arial" w:hAnsi="Arial" w:cs="Arial"/>
          <w:lang w:val="es-CR"/>
        </w:rPr>
        <w:t>Mediante memorando SCI-333-2019, suscrito por la MAE. Ana Damaris Quesada Murillo, Directora Ejecutiva de la Secretaría del Consejo Institucional, dirigido al MAE. Nelson Ortega Jiménez, Coordinador de la Comisión de Planificación y Administración se señala que:</w:t>
      </w:r>
    </w:p>
    <w:p w:rsidR="00873395" w:rsidRPr="00873395" w:rsidRDefault="00873395" w:rsidP="00873395">
      <w:pPr>
        <w:jc w:val="both"/>
        <w:rPr>
          <w:rFonts w:ascii="Arial" w:hAnsi="Arial" w:cs="Arial"/>
          <w:lang w:val="es-CR"/>
        </w:rPr>
      </w:pPr>
    </w:p>
    <w:p w:rsidR="00873395" w:rsidRPr="00873395" w:rsidRDefault="00873395" w:rsidP="00873395">
      <w:pPr>
        <w:ind w:left="709" w:right="616"/>
        <w:jc w:val="both"/>
        <w:rPr>
          <w:rFonts w:ascii="Arial" w:hAnsi="Arial" w:cs="Arial"/>
          <w:i/>
          <w:sz w:val="20"/>
          <w:szCs w:val="20"/>
          <w:lang w:val="es-CR"/>
        </w:rPr>
      </w:pPr>
      <w:r w:rsidRPr="00873395">
        <w:rPr>
          <w:rFonts w:ascii="Arial" w:hAnsi="Arial" w:cs="Arial"/>
          <w:i/>
          <w:sz w:val="20"/>
          <w:szCs w:val="20"/>
          <w:lang w:val="es-CR"/>
        </w:rPr>
        <w:t xml:space="preserve">“En atención al oficio SCI-313-2019, en el cual solicita revisión de la nota OPI-181-2019 suscrita por la MAU. Tatiana Fernández, le informo que hemos procedido con la verificación de los aspectos señalados en dicha nota y en el inventario realizado por la </w:t>
      </w:r>
      <w:r w:rsidRPr="00873395">
        <w:rPr>
          <w:rFonts w:ascii="Arial" w:hAnsi="Arial" w:cs="Arial"/>
          <w:i/>
          <w:sz w:val="20"/>
          <w:szCs w:val="20"/>
          <w:lang w:val="es-CR"/>
        </w:rPr>
        <w:lastRenderedPageBreak/>
        <w:t xml:space="preserve">Oficina de Planificación; asimismo, hemos corregido como se detalla a continuación, lo que consideramos está dentro de nuestra potestad;  siendo que,  a pesar de que el Articulo 8 del Reglamento de Normalización Institucional establece que es responsabilidad de la Oficina de Asesoría Legal “Llevar un registro actualizado en un sistema de información de los reglamentos específicos y generales vigentes en el ITCR”, esta función ha sido asumida por la Secretaría del Consejo Institucional, sin que se conozca la razón de ello. </w:t>
      </w:r>
    </w:p>
    <w:p w:rsidR="00873395" w:rsidRPr="00873395" w:rsidRDefault="00873395" w:rsidP="00873395">
      <w:pPr>
        <w:ind w:left="709" w:right="616"/>
        <w:jc w:val="both"/>
        <w:rPr>
          <w:rFonts w:ascii="Arial" w:hAnsi="Arial" w:cs="Arial"/>
          <w:i/>
          <w:sz w:val="20"/>
          <w:szCs w:val="20"/>
          <w:lang w:val="es-CR"/>
        </w:rPr>
      </w:pPr>
    </w:p>
    <w:p w:rsidR="00873395" w:rsidRPr="00873395" w:rsidRDefault="00873395" w:rsidP="00873395">
      <w:pPr>
        <w:numPr>
          <w:ilvl w:val="0"/>
          <w:numId w:val="19"/>
        </w:numPr>
        <w:ind w:left="709" w:right="616" w:hanging="426"/>
        <w:contextualSpacing/>
        <w:jc w:val="both"/>
        <w:rPr>
          <w:rFonts w:ascii="Arial" w:hAnsi="Arial" w:cs="Arial"/>
          <w:i/>
          <w:sz w:val="20"/>
          <w:szCs w:val="20"/>
          <w:lang w:val="es-CR"/>
        </w:rPr>
      </w:pPr>
      <w:r w:rsidRPr="00873395">
        <w:rPr>
          <w:rFonts w:ascii="Arial" w:hAnsi="Arial" w:cs="Arial"/>
          <w:i/>
          <w:sz w:val="20"/>
          <w:szCs w:val="20"/>
          <w:lang w:val="es-CR"/>
        </w:rPr>
        <w:t>Se trasladaron al enlace Reglamentos derogados de la Base de datos los siguientes:</w:t>
      </w:r>
    </w:p>
    <w:p w:rsidR="00873395" w:rsidRPr="00873395" w:rsidRDefault="00873395" w:rsidP="00873395">
      <w:pPr>
        <w:ind w:left="709" w:right="616"/>
        <w:contextualSpacing/>
        <w:jc w:val="both"/>
        <w:rPr>
          <w:rFonts w:ascii="Arial" w:hAnsi="Arial" w:cs="Arial"/>
          <w:i/>
          <w:sz w:val="20"/>
          <w:szCs w:val="20"/>
          <w:lang w:val="es-CR"/>
        </w:rPr>
      </w:pPr>
      <w:r w:rsidRPr="00873395">
        <w:rPr>
          <w:rFonts w:ascii="Arial" w:hAnsi="Arial" w:cs="Arial"/>
          <w:i/>
          <w:sz w:val="20"/>
          <w:szCs w:val="20"/>
          <w:lang w:val="es-CR"/>
        </w:rPr>
        <w:t>…</w:t>
      </w:r>
    </w:p>
    <w:p w:rsidR="00873395" w:rsidRPr="00873395" w:rsidRDefault="00873395" w:rsidP="00873395">
      <w:pPr>
        <w:ind w:left="709" w:right="616"/>
        <w:jc w:val="both"/>
        <w:rPr>
          <w:rFonts w:ascii="Arial" w:hAnsi="Arial" w:cs="Arial"/>
          <w:i/>
          <w:sz w:val="20"/>
          <w:szCs w:val="20"/>
          <w:lang w:val="es-CR"/>
        </w:rPr>
      </w:pPr>
    </w:p>
    <w:p w:rsidR="00873395" w:rsidRPr="00873395" w:rsidRDefault="00873395" w:rsidP="00873395">
      <w:pPr>
        <w:numPr>
          <w:ilvl w:val="0"/>
          <w:numId w:val="19"/>
        </w:numPr>
        <w:ind w:left="709" w:right="616"/>
        <w:contextualSpacing/>
        <w:jc w:val="both"/>
        <w:rPr>
          <w:rFonts w:ascii="Arial" w:hAnsi="Arial" w:cs="Arial"/>
          <w:i/>
          <w:sz w:val="20"/>
          <w:szCs w:val="20"/>
          <w:lang w:val="es-CR"/>
        </w:rPr>
      </w:pPr>
      <w:r w:rsidRPr="00873395">
        <w:rPr>
          <w:rFonts w:ascii="Arial" w:hAnsi="Arial" w:cs="Arial"/>
          <w:i/>
          <w:sz w:val="20"/>
          <w:szCs w:val="20"/>
          <w:lang w:val="es-CR"/>
        </w:rPr>
        <w:t>Se solicitó a la Master Evelyn Solano Gallardo de la Oficina de Comunicación y Mercadeo, que incluyera en forma paralela en el apartado “Enlaces relacionados”, carpetas adicionales que contengan las Políticas Generales y Específicas, las Disposiciones para la  Formulación de Presupuesto del ITCR y las Disposiciones Ronda de Proyectos de Investigación, todas estas correspondientes a años anteriores a 2019; así como el Reglamento del III Congreso Institucional; a fin de separar todos estos documentos de la base de reglamentos vigentes.</w:t>
      </w:r>
    </w:p>
    <w:p w:rsidR="00873395" w:rsidRPr="00873395" w:rsidRDefault="00873395" w:rsidP="00873395">
      <w:pPr>
        <w:ind w:left="709" w:right="616"/>
        <w:jc w:val="both"/>
        <w:rPr>
          <w:rFonts w:ascii="Arial" w:hAnsi="Arial" w:cs="Arial"/>
          <w:i/>
          <w:sz w:val="20"/>
          <w:szCs w:val="20"/>
          <w:lang w:val="es-CR"/>
        </w:rPr>
      </w:pPr>
    </w:p>
    <w:p w:rsidR="00873395" w:rsidRPr="00873395" w:rsidRDefault="00873395" w:rsidP="00873395">
      <w:pPr>
        <w:numPr>
          <w:ilvl w:val="0"/>
          <w:numId w:val="19"/>
        </w:numPr>
        <w:ind w:left="709" w:right="616"/>
        <w:contextualSpacing/>
        <w:jc w:val="both"/>
        <w:rPr>
          <w:rFonts w:ascii="Arial" w:hAnsi="Arial" w:cs="Arial"/>
          <w:i/>
          <w:sz w:val="20"/>
          <w:szCs w:val="20"/>
          <w:lang w:val="es-CR"/>
        </w:rPr>
      </w:pPr>
      <w:r w:rsidRPr="00873395">
        <w:rPr>
          <w:rFonts w:ascii="Arial" w:hAnsi="Arial" w:cs="Arial"/>
          <w:i/>
          <w:sz w:val="20"/>
          <w:szCs w:val="20"/>
          <w:lang w:val="es-CR"/>
        </w:rPr>
        <w:t>Se incluyó en la categoría Políticas Institucionales, las siguientes Políticas Específicas vigentes:</w:t>
      </w:r>
    </w:p>
    <w:p w:rsidR="00873395" w:rsidRPr="00873395" w:rsidRDefault="00873395" w:rsidP="00873395">
      <w:pPr>
        <w:ind w:left="709" w:right="616"/>
        <w:contextualSpacing/>
        <w:jc w:val="both"/>
        <w:rPr>
          <w:rFonts w:ascii="Arial" w:hAnsi="Arial" w:cs="Arial"/>
          <w:i/>
          <w:sz w:val="20"/>
          <w:szCs w:val="20"/>
        </w:rPr>
      </w:pPr>
      <w:r w:rsidRPr="00873395">
        <w:rPr>
          <w:rFonts w:ascii="Arial" w:hAnsi="Arial" w:cs="Arial"/>
          <w:i/>
          <w:sz w:val="20"/>
          <w:szCs w:val="20"/>
        </w:rPr>
        <w:t>…</w:t>
      </w:r>
    </w:p>
    <w:p w:rsidR="00873395" w:rsidRPr="00873395" w:rsidRDefault="00873395" w:rsidP="00873395">
      <w:pPr>
        <w:numPr>
          <w:ilvl w:val="0"/>
          <w:numId w:val="19"/>
        </w:numPr>
        <w:ind w:left="709" w:right="616"/>
        <w:contextualSpacing/>
        <w:jc w:val="both"/>
        <w:rPr>
          <w:rFonts w:ascii="Arial" w:hAnsi="Arial" w:cs="Arial"/>
          <w:i/>
          <w:sz w:val="20"/>
          <w:szCs w:val="20"/>
          <w:lang w:val="es-CR"/>
        </w:rPr>
      </w:pPr>
      <w:r w:rsidRPr="00873395">
        <w:rPr>
          <w:rFonts w:ascii="Arial" w:hAnsi="Arial" w:cs="Arial"/>
          <w:i/>
          <w:sz w:val="20"/>
          <w:szCs w:val="20"/>
          <w:lang w:val="es-CR"/>
        </w:rPr>
        <w:t>Se sugiere solicitar a la Oficina de Asesoría Legal, que diseñe un mecanismo que le permita conocer y recopilar los reglamentos vigentes de uso interno y específico para el funcionamiento de una dependencia del Instituto, que hayan sido aprobados por el consejo o superior respectivo, a fin de incorporarlos en la Base de Datos de Reglamentos.</w:t>
      </w:r>
    </w:p>
    <w:p w:rsidR="00873395" w:rsidRPr="00873395" w:rsidRDefault="00873395" w:rsidP="00873395">
      <w:pPr>
        <w:ind w:left="708"/>
        <w:rPr>
          <w:rFonts w:ascii="Arial" w:hAnsi="Arial" w:cs="Arial"/>
          <w:i/>
          <w:sz w:val="20"/>
          <w:szCs w:val="20"/>
          <w:lang w:val="es-CR"/>
        </w:rPr>
      </w:pPr>
    </w:p>
    <w:p w:rsidR="00873395" w:rsidRPr="00873395" w:rsidRDefault="00873395" w:rsidP="00873395">
      <w:pPr>
        <w:spacing w:after="160" w:line="259" w:lineRule="auto"/>
        <w:ind w:left="709" w:right="616"/>
        <w:contextualSpacing/>
        <w:jc w:val="both"/>
        <w:rPr>
          <w:rFonts w:ascii="Arial" w:hAnsi="Arial" w:cs="Arial"/>
          <w:i/>
          <w:sz w:val="20"/>
          <w:szCs w:val="20"/>
          <w:lang w:val="es-CR"/>
        </w:rPr>
      </w:pPr>
      <w:r w:rsidRPr="00873395">
        <w:rPr>
          <w:rFonts w:ascii="Arial" w:hAnsi="Arial" w:cs="Arial"/>
          <w:i/>
          <w:sz w:val="20"/>
          <w:szCs w:val="20"/>
          <w:lang w:val="es-CR"/>
        </w:rPr>
        <w:t>…”</w:t>
      </w:r>
    </w:p>
    <w:p w:rsidR="00873395" w:rsidRPr="00873395" w:rsidRDefault="00873395" w:rsidP="00873395">
      <w:pPr>
        <w:ind w:left="1320" w:hanging="1320"/>
        <w:jc w:val="both"/>
        <w:rPr>
          <w:rFonts w:ascii="Arial" w:hAnsi="Arial" w:cs="Arial"/>
        </w:rPr>
      </w:pPr>
    </w:p>
    <w:p w:rsidR="00873395" w:rsidRPr="00873395" w:rsidRDefault="00873395" w:rsidP="00873395">
      <w:pPr>
        <w:ind w:left="1320" w:hanging="1320"/>
        <w:jc w:val="both"/>
        <w:rPr>
          <w:rFonts w:ascii="Arial" w:hAnsi="Arial" w:cs="Arial"/>
          <w:b/>
          <w:lang w:val="es-CR"/>
        </w:rPr>
      </w:pPr>
      <w:r w:rsidRPr="00873395">
        <w:rPr>
          <w:rFonts w:ascii="Arial" w:hAnsi="Arial" w:cs="Arial"/>
          <w:b/>
          <w:lang w:val="es-CR"/>
        </w:rPr>
        <w:t>CONSIDERANDO QUE:</w:t>
      </w:r>
    </w:p>
    <w:p w:rsidR="00873395" w:rsidRPr="00873395" w:rsidRDefault="00873395" w:rsidP="00873395">
      <w:pPr>
        <w:ind w:left="1320" w:hanging="1320"/>
        <w:jc w:val="both"/>
        <w:rPr>
          <w:rFonts w:ascii="Arial" w:hAnsi="Arial" w:cs="Arial"/>
        </w:rPr>
      </w:pPr>
    </w:p>
    <w:p w:rsidR="00873395" w:rsidRPr="00873395" w:rsidRDefault="00873395" w:rsidP="00873395">
      <w:pPr>
        <w:numPr>
          <w:ilvl w:val="0"/>
          <w:numId w:val="18"/>
        </w:numPr>
        <w:ind w:left="360"/>
        <w:jc w:val="both"/>
        <w:rPr>
          <w:rFonts w:ascii="Arial" w:hAnsi="Arial" w:cs="Arial"/>
          <w:lang w:val="es-CR"/>
        </w:rPr>
      </w:pPr>
      <w:r w:rsidRPr="00873395">
        <w:rPr>
          <w:rFonts w:ascii="Arial" w:hAnsi="Arial" w:cs="Arial"/>
          <w:lang w:val="es-CR"/>
        </w:rPr>
        <w:t>Contar con un sistema de reglamentos vigente, debidamente actualizado y de fácil acceso a los Miembros de la Comunidad Institucional es un elemento necesario, para garantizar el cumplimiento de la normativa vigente y la observancia de los deberes y de los derechos de las personas que conforman esta Comunidad.</w:t>
      </w:r>
    </w:p>
    <w:p w:rsidR="00873395" w:rsidRPr="00873395" w:rsidRDefault="00873395" w:rsidP="00873395">
      <w:pPr>
        <w:ind w:left="360"/>
        <w:jc w:val="both"/>
        <w:rPr>
          <w:rFonts w:ascii="Arial" w:hAnsi="Arial" w:cs="Arial"/>
          <w:lang w:val="es-CR"/>
        </w:rPr>
      </w:pPr>
    </w:p>
    <w:p w:rsidR="00873395" w:rsidRPr="00873395" w:rsidRDefault="00873395" w:rsidP="00873395">
      <w:pPr>
        <w:numPr>
          <w:ilvl w:val="0"/>
          <w:numId w:val="18"/>
        </w:numPr>
        <w:ind w:left="360"/>
        <w:jc w:val="both"/>
        <w:rPr>
          <w:rFonts w:ascii="Arial" w:hAnsi="Arial" w:cs="Arial"/>
          <w:lang w:val="es-CR"/>
        </w:rPr>
      </w:pPr>
      <w:r w:rsidRPr="00873395">
        <w:rPr>
          <w:rFonts w:ascii="Arial" w:hAnsi="Arial" w:cs="Arial"/>
          <w:lang w:val="es-CR"/>
        </w:rPr>
        <w:t>La Asesoría Legal debe cumplir con las responsabilidades establecidas para esta dependencia, en el Reglamento de Normalización Institucional.</w:t>
      </w:r>
    </w:p>
    <w:p w:rsidR="00873395" w:rsidRPr="00873395" w:rsidRDefault="00873395" w:rsidP="00873395">
      <w:pPr>
        <w:jc w:val="both"/>
        <w:rPr>
          <w:rFonts w:ascii="Arial" w:hAnsi="Arial" w:cs="Arial"/>
          <w:lang w:val="es-CR"/>
        </w:rPr>
      </w:pPr>
    </w:p>
    <w:p w:rsidR="00873395" w:rsidRPr="00873395" w:rsidRDefault="00873395" w:rsidP="00873395">
      <w:pPr>
        <w:numPr>
          <w:ilvl w:val="0"/>
          <w:numId w:val="18"/>
        </w:numPr>
        <w:ind w:left="360"/>
        <w:jc w:val="both"/>
        <w:rPr>
          <w:rFonts w:ascii="Arial" w:hAnsi="Arial" w:cs="Arial"/>
          <w:lang w:val="es-CR"/>
        </w:rPr>
      </w:pPr>
      <w:r w:rsidRPr="00873395">
        <w:rPr>
          <w:rFonts w:ascii="Arial" w:hAnsi="Arial" w:cs="Arial"/>
          <w:lang w:val="es-CR"/>
        </w:rPr>
        <w:t xml:space="preserve">Es conveniente que la dependencia que realiza las publicaciones de la Gaceta Institucional establezca los procedimientos que permitan que el sistema de reglamentos vigente se mantenga debidamente actualizado, ambas funciones asignadas a la Asesoría Legal, pese a que en la práctica la actualización del sistema esté siendo realizada por la Secretaría del Consejo Institucional. </w:t>
      </w:r>
    </w:p>
    <w:p w:rsidR="00873395" w:rsidRPr="00873395" w:rsidRDefault="00873395" w:rsidP="00873395">
      <w:pPr>
        <w:jc w:val="both"/>
        <w:rPr>
          <w:rFonts w:ascii="Arial" w:hAnsi="Arial" w:cs="Arial"/>
          <w:lang w:val="es-CR"/>
        </w:rPr>
      </w:pPr>
    </w:p>
    <w:p w:rsidR="00873395" w:rsidRPr="00873395" w:rsidRDefault="00873395" w:rsidP="00873395">
      <w:pPr>
        <w:jc w:val="both"/>
        <w:rPr>
          <w:rFonts w:ascii="Arial" w:hAnsi="Arial" w:cs="Arial"/>
          <w:b/>
          <w:lang w:val="es-CR"/>
        </w:rPr>
      </w:pPr>
      <w:r w:rsidRPr="00873395">
        <w:rPr>
          <w:rFonts w:ascii="Arial" w:hAnsi="Arial" w:cs="Arial"/>
          <w:b/>
          <w:lang w:val="es-CR"/>
        </w:rPr>
        <w:t>SE</w:t>
      </w:r>
      <w:r>
        <w:rPr>
          <w:rFonts w:ascii="Arial" w:hAnsi="Arial" w:cs="Arial"/>
          <w:b/>
          <w:lang w:val="es-CR"/>
        </w:rPr>
        <w:t xml:space="preserve"> ACUERDA</w:t>
      </w:r>
      <w:r w:rsidRPr="00873395">
        <w:rPr>
          <w:rFonts w:ascii="Arial" w:hAnsi="Arial" w:cs="Arial"/>
          <w:b/>
          <w:lang w:val="es-CR"/>
        </w:rPr>
        <w:t>:</w:t>
      </w:r>
    </w:p>
    <w:p w:rsidR="00873395" w:rsidRPr="00873395" w:rsidRDefault="00873395" w:rsidP="00873395">
      <w:pPr>
        <w:jc w:val="both"/>
        <w:rPr>
          <w:rFonts w:ascii="Arial" w:hAnsi="Arial" w:cs="Arial"/>
          <w:sz w:val="20"/>
          <w:szCs w:val="20"/>
        </w:rPr>
      </w:pPr>
    </w:p>
    <w:p w:rsidR="00873395" w:rsidRPr="00873395" w:rsidRDefault="00873395" w:rsidP="00873395">
      <w:pPr>
        <w:numPr>
          <w:ilvl w:val="0"/>
          <w:numId w:val="3"/>
        </w:numPr>
        <w:ind w:left="426" w:right="-91" w:hanging="426"/>
        <w:jc w:val="both"/>
        <w:rPr>
          <w:rFonts w:ascii="Arial" w:hAnsi="Arial" w:cs="Arial"/>
        </w:rPr>
      </w:pPr>
      <w:r w:rsidRPr="00873395">
        <w:rPr>
          <w:rFonts w:ascii="Arial" w:hAnsi="Arial" w:cs="Arial"/>
        </w:rPr>
        <w:t>Solicitar a la Rectoría tome las medidas que se requieran, para que la Oficina de Asesoría Legal atienda lo indicado en el Artículo 8 del Reglamento de Normalización Institucional.</w:t>
      </w:r>
    </w:p>
    <w:p w:rsidR="00873395" w:rsidRPr="00873395" w:rsidRDefault="00873395" w:rsidP="00873395">
      <w:pPr>
        <w:ind w:left="360" w:right="-91"/>
        <w:jc w:val="both"/>
        <w:rPr>
          <w:rFonts w:ascii="Arial" w:hAnsi="Arial" w:cs="Arial"/>
        </w:rPr>
      </w:pPr>
    </w:p>
    <w:p w:rsidR="00873395" w:rsidRPr="00873395" w:rsidRDefault="00873395" w:rsidP="00873395">
      <w:pPr>
        <w:numPr>
          <w:ilvl w:val="0"/>
          <w:numId w:val="3"/>
        </w:numPr>
        <w:ind w:left="426" w:right="-91" w:hanging="426"/>
        <w:jc w:val="both"/>
        <w:rPr>
          <w:rFonts w:ascii="Arial" w:hAnsi="Arial" w:cs="Arial"/>
        </w:rPr>
      </w:pPr>
      <w:r w:rsidRPr="00873395">
        <w:rPr>
          <w:rFonts w:ascii="Arial" w:hAnsi="Arial" w:cs="Arial"/>
        </w:rPr>
        <w:t xml:space="preserve">Solicitar a la Oficina de Asesoría Legal definir y comunicar los procedimientos que permitan conocer y recopilar los reglamentos vigentes de uso interno y específico, </w:t>
      </w:r>
      <w:r w:rsidRPr="00873395">
        <w:rPr>
          <w:rFonts w:ascii="Arial" w:hAnsi="Arial" w:cs="Arial"/>
        </w:rPr>
        <w:lastRenderedPageBreak/>
        <w:t>para el funcionamiento de una dependencia del Instituto; así como su incorporación al Sistema de Reglamentación vigente.</w:t>
      </w:r>
    </w:p>
    <w:p w:rsidR="00873395" w:rsidRPr="00873395" w:rsidRDefault="00873395" w:rsidP="00873395">
      <w:pPr>
        <w:ind w:left="708"/>
        <w:rPr>
          <w:rFonts w:ascii="Arial" w:hAnsi="Arial" w:cs="Arial"/>
        </w:rPr>
      </w:pPr>
    </w:p>
    <w:p w:rsidR="00873395" w:rsidRPr="00873395" w:rsidRDefault="00873395" w:rsidP="00873395">
      <w:pPr>
        <w:numPr>
          <w:ilvl w:val="0"/>
          <w:numId w:val="3"/>
        </w:numPr>
        <w:ind w:left="426" w:right="-91" w:hanging="426"/>
        <w:jc w:val="both"/>
        <w:rPr>
          <w:rFonts w:ascii="Arial" w:hAnsi="Arial" w:cs="Arial"/>
        </w:rPr>
      </w:pPr>
      <w:r w:rsidRPr="00873395">
        <w:rPr>
          <w:rFonts w:ascii="Arial" w:hAnsi="Arial" w:cs="Arial"/>
        </w:rPr>
        <w:t xml:space="preserve">Solicitar a la Rectoría que informe a este Consejo sobre el plan definido para atender lo indicado en los incisos a y b del presente acuerdo, en un plazo no mayor a 30 días naturales.  </w:t>
      </w:r>
    </w:p>
    <w:p w:rsidR="00873395" w:rsidRPr="00873395" w:rsidRDefault="00873395" w:rsidP="00873395">
      <w:pPr>
        <w:ind w:left="360" w:right="-91"/>
        <w:jc w:val="both"/>
        <w:rPr>
          <w:rFonts w:ascii="Arial" w:hAnsi="Arial" w:cs="Arial"/>
        </w:rPr>
      </w:pPr>
    </w:p>
    <w:p w:rsidR="00873395" w:rsidRPr="00873395" w:rsidRDefault="00873395" w:rsidP="007742A1">
      <w:pPr>
        <w:numPr>
          <w:ilvl w:val="0"/>
          <w:numId w:val="3"/>
        </w:numPr>
        <w:ind w:left="426" w:right="-91" w:hanging="426"/>
        <w:jc w:val="both"/>
        <w:rPr>
          <w:rFonts w:ascii="Arial" w:hAnsi="Arial" w:cs="Arial"/>
        </w:rPr>
      </w:pPr>
      <w:r w:rsidRPr="00873395">
        <w:rPr>
          <w:rFonts w:ascii="Arial" w:hAnsi="Arial" w:cs="Arial"/>
          <w:lang w:val="es-CR"/>
        </w:rPr>
        <w:t xml:space="preserve">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w:t>
      </w:r>
      <w:proofErr w:type="gramStart"/>
      <w:r w:rsidRPr="00873395">
        <w:rPr>
          <w:rFonts w:ascii="Arial" w:hAnsi="Arial" w:cs="Arial"/>
          <w:lang w:val="es-CR"/>
        </w:rPr>
        <w:t>previo.</w:t>
      </w:r>
      <w:r w:rsidRPr="00873395">
        <w:rPr>
          <w:rFonts w:ascii="Arial" w:hAnsi="Arial" w:cs="Arial"/>
        </w:rPr>
        <w:t>.</w:t>
      </w:r>
      <w:proofErr w:type="gramEnd"/>
    </w:p>
    <w:p w:rsidR="008841D4" w:rsidRDefault="008841D4" w:rsidP="00885725">
      <w:pPr>
        <w:tabs>
          <w:tab w:val="left" w:pos="3070"/>
        </w:tabs>
        <w:contextualSpacing/>
        <w:jc w:val="both"/>
        <w:outlineLvl w:val="0"/>
        <w:rPr>
          <w:rFonts w:ascii="Arial" w:eastAsia="Cambria" w:hAnsi="Arial" w:cs="Arial"/>
          <w:b/>
          <w:color w:val="000000"/>
          <w:lang w:val="es-ES_tradnl" w:eastAsia="en-US"/>
        </w:rPr>
      </w:pPr>
    </w:p>
    <w:p w:rsidR="00917157" w:rsidRPr="00873395" w:rsidRDefault="000E564F" w:rsidP="00873395">
      <w:pPr>
        <w:numPr>
          <w:ilvl w:val="0"/>
          <w:numId w:val="3"/>
        </w:numPr>
        <w:ind w:left="426" w:right="-91" w:hanging="426"/>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873395" w:rsidRDefault="00873395" w:rsidP="00873395">
      <w:pPr>
        <w:contextualSpacing/>
        <w:jc w:val="both"/>
        <w:rPr>
          <w:rFonts w:ascii="Arial" w:hAnsi="Arial" w:cs="Arial"/>
        </w:rPr>
      </w:pPr>
    </w:p>
    <w:p w:rsidR="00873395" w:rsidRDefault="00873395" w:rsidP="00873395">
      <w:pPr>
        <w:contextualSpacing/>
        <w:jc w:val="both"/>
        <w:rPr>
          <w:rFonts w:ascii="Arial" w:hAnsi="Arial" w:cs="Arial"/>
        </w:rPr>
      </w:pPr>
    </w:p>
    <w:p w:rsidR="00873395" w:rsidRPr="00873395" w:rsidRDefault="00873395" w:rsidP="00873395">
      <w:pPr>
        <w:spacing w:line="259" w:lineRule="auto"/>
        <w:jc w:val="both"/>
        <w:rPr>
          <w:rFonts w:ascii="Arial" w:hAnsi="Arial" w:cs="Arial"/>
          <w:b/>
          <w:bCs/>
          <w:sz w:val="20"/>
          <w:szCs w:val="20"/>
          <w:lang w:val="es-CR"/>
        </w:rPr>
      </w:pPr>
      <w:r w:rsidRPr="00873395">
        <w:rPr>
          <w:rFonts w:ascii="Arial" w:hAnsi="Arial" w:cs="Arial"/>
          <w:b/>
          <w:bCs/>
          <w:sz w:val="20"/>
          <w:szCs w:val="20"/>
          <w:lang w:val="es-CR"/>
        </w:rPr>
        <w:t xml:space="preserve">PALABRAS CLAVE:  Solicitud – Asesoría Legal – atender – Artículo 8 - Reglamento - Normalización </w:t>
      </w:r>
    </w:p>
    <w:p w:rsidR="00873395" w:rsidRPr="00873395" w:rsidRDefault="00873395" w:rsidP="00873395">
      <w:pPr>
        <w:jc w:val="both"/>
        <w:rPr>
          <w:rFonts w:ascii="Arial" w:eastAsia="Cambria" w:hAnsi="Arial" w:cs="Arial"/>
          <w:b/>
          <w:bCs/>
          <w:sz w:val="20"/>
          <w:szCs w:val="20"/>
          <w:lang w:eastAsia="en-US"/>
        </w:rPr>
      </w:pPr>
    </w:p>
    <w:p w:rsidR="00873395" w:rsidRPr="008841D4" w:rsidRDefault="00873395" w:rsidP="00873395">
      <w:pPr>
        <w:contextualSpacing/>
        <w:jc w:val="both"/>
        <w:rPr>
          <w:rFonts w:ascii="Arial" w:hAnsi="Arial" w:cs="Arial"/>
        </w:rPr>
      </w:pPr>
    </w:p>
    <w:p w:rsidR="00B12317" w:rsidRDefault="00B12317" w:rsidP="00B12317">
      <w:pPr>
        <w:ind w:right="-91"/>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7C" w:rsidRDefault="0007707C">
      <w:r>
        <w:separator/>
      </w:r>
    </w:p>
  </w:endnote>
  <w:endnote w:type="continuationSeparator" w:id="0">
    <w:p w:rsidR="0007707C" w:rsidRDefault="0007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7C" w:rsidRDefault="0007707C">
      <w:r>
        <w:separator/>
      </w:r>
    </w:p>
  </w:footnote>
  <w:footnote w:type="continuationSeparator" w:id="0">
    <w:p w:rsidR="0007707C" w:rsidRDefault="0007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A787F">
      <w:rPr>
        <w:rFonts w:ascii="Arial" w:eastAsia="Cambria" w:hAnsi="Arial" w:cs="Arial"/>
        <w:i/>
        <w:sz w:val="18"/>
        <w:szCs w:val="18"/>
        <w:lang w:val="es-ES_tradnl" w:eastAsia="x-none"/>
      </w:rPr>
      <w:t>3</w:t>
    </w:r>
    <w:r w:rsidR="00625635">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84085F">
      <w:rPr>
        <w:rFonts w:ascii="Arial" w:eastAsia="Cambria" w:hAnsi="Arial" w:cs="Arial"/>
        <w:i/>
        <w:sz w:val="18"/>
        <w:szCs w:val="18"/>
        <w:lang w:val="es-ES_tradnl" w:eastAsia="x-none"/>
      </w:rPr>
      <w:t>8</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4B5364">
      <w:rPr>
        <w:rFonts w:ascii="Arial" w:eastAsia="Cambria" w:hAnsi="Arial" w:cs="Arial"/>
        <w:i/>
        <w:sz w:val="18"/>
        <w:szCs w:val="18"/>
        <w:lang w:val="es-ES_tradnl" w:eastAsia="x-none"/>
      </w:rPr>
      <w:t>2</w:t>
    </w:r>
    <w:r w:rsidR="00625635">
      <w:rPr>
        <w:rFonts w:ascii="Arial" w:eastAsia="Cambria" w:hAnsi="Arial" w:cs="Arial"/>
        <w:i/>
        <w:sz w:val="18"/>
        <w:szCs w:val="18"/>
        <w:lang w:val="es-ES_tradnl" w:eastAsia="x-none"/>
      </w:rPr>
      <w:t>8</w:t>
    </w:r>
    <w:r w:rsidR="000A787F">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73395">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235AC"/>
    <w:multiLevelType w:val="hybridMultilevel"/>
    <w:tmpl w:val="8B6C3B9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BC31ADC"/>
    <w:multiLevelType w:val="hybridMultilevel"/>
    <w:tmpl w:val="6D7CA12A"/>
    <w:lvl w:ilvl="0" w:tplc="55482EAA">
      <w:start w:val="1"/>
      <w:numFmt w:val="lowerLetter"/>
      <w:lvlText w:val="%1."/>
      <w:lvlJc w:val="left"/>
      <w:pPr>
        <w:ind w:left="1068" w:hanging="360"/>
      </w:pPr>
      <w:rPr>
        <w:b/>
        <w:i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2E0353D7"/>
    <w:multiLevelType w:val="hybridMultilevel"/>
    <w:tmpl w:val="B5366810"/>
    <w:lvl w:ilvl="0" w:tplc="B15CB70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996F7D"/>
    <w:multiLevelType w:val="hybridMultilevel"/>
    <w:tmpl w:val="011014A8"/>
    <w:lvl w:ilvl="0" w:tplc="D64CE136">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837DC"/>
    <w:multiLevelType w:val="hybridMultilevel"/>
    <w:tmpl w:val="83B06CC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AA37956"/>
    <w:multiLevelType w:val="hybridMultilevel"/>
    <w:tmpl w:val="B040259E"/>
    <w:lvl w:ilvl="0" w:tplc="CF86C8BC">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0E42948"/>
    <w:multiLevelType w:val="hybridMultilevel"/>
    <w:tmpl w:val="E6A85BD0"/>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8"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C2D0F77"/>
    <w:multiLevelType w:val="hybridMultilevel"/>
    <w:tmpl w:val="003E8FC2"/>
    <w:lvl w:ilvl="0" w:tplc="040A0001">
      <w:start w:val="1"/>
      <w:numFmt w:val="bullet"/>
      <w:lvlText w:val=""/>
      <w:lvlJc w:val="left"/>
      <w:pPr>
        <w:ind w:left="1468" w:hanging="360"/>
      </w:pPr>
      <w:rPr>
        <w:rFonts w:ascii="Symbol" w:hAnsi="Symbol" w:hint="default"/>
      </w:rPr>
    </w:lvl>
    <w:lvl w:ilvl="1" w:tplc="040A0003" w:tentative="1">
      <w:start w:val="1"/>
      <w:numFmt w:val="bullet"/>
      <w:lvlText w:val="o"/>
      <w:lvlJc w:val="left"/>
      <w:pPr>
        <w:ind w:left="2188" w:hanging="360"/>
      </w:pPr>
      <w:rPr>
        <w:rFonts w:ascii="Courier New" w:hAnsi="Courier New" w:cs="Courier New" w:hint="default"/>
      </w:rPr>
    </w:lvl>
    <w:lvl w:ilvl="2" w:tplc="040A0005" w:tentative="1">
      <w:start w:val="1"/>
      <w:numFmt w:val="bullet"/>
      <w:lvlText w:val=""/>
      <w:lvlJc w:val="left"/>
      <w:pPr>
        <w:ind w:left="2908" w:hanging="360"/>
      </w:pPr>
      <w:rPr>
        <w:rFonts w:ascii="Wingdings" w:hAnsi="Wingdings" w:hint="default"/>
      </w:rPr>
    </w:lvl>
    <w:lvl w:ilvl="3" w:tplc="040A0001" w:tentative="1">
      <w:start w:val="1"/>
      <w:numFmt w:val="bullet"/>
      <w:lvlText w:val=""/>
      <w:lvlJc w:val="left"/>
      <w:pPr>
        <w:ind w:left="3628" w:hanging="360"/>
      </w:pPr>
      <w:rPr>
        <w:rFonts w:ascii="Symbol" w:hAnsi="Symbol" w:hint="default"/>
      </w:rPr>
    </w:lvl>
    <w:lvl w:ilvl="4" w:tplc="040A0003" w:tentative="1">
      <w:start w:val="1"/>
      <w:numFmt w:val="bullet"/>
      <w:lvlText w:val="o"/>
      <w:lvlJc w:val="left"/>
      <w:pPr>
        <w:ind w:left="4348" w:hanging="360"/>
      </w:pPr>
      <w:rPr>
        <w:rFonts w:ascii="Courier New" w:hAnsi="Courier New" w:cs="Courier New" w:hint="default"/>
      </w:rPr>
    </w:lvl>
    <w:lvl w:ilvl="5" w:tplc="040A0005" w:tentative="1">
      <w:start w:val="1"/>
      <w:numFmt w:val="bullet"/>
      <w:lvlText w:val=""/>
      <w:lvlJc w:val="left"/>
      <w:pPr>
        <w:ind w:left="5068" w:hanging="360"/>
      </w:pPr>
      <w:rPr>
        <w:rFonts w:ascii="Wingdings" w:hAnsi="Wingdings" w:hint="default"/>
      </w:rPr>
    </w:lvl>
    <w:lvl w:ilvl="6" w:tplc="040A0001" w:tentative="1">
      <w:start w:val="1"/>
      <w:numFmt w:val="bullet"/>
      <w:lvlText w:val=""/>
      <w:lvlJc w:val="left"/>
      <w:pPr>
        <w:ind w:left="5788" w:hanging="360"/>
      </w:pPr>
      <w:rPr>
        <w:rFonts w:ascii="Symbol" w:hAnsi="Symbol" w:hint="default"/>
      </w:rPr>
    </w:lvl>
    <w:lvl w:ilvl="7" w:tplc="040A0003" w:tentative="1">
      <w:start w:val="1"/>
      <w:numFmt w:val="bullet"/>
      <w:lvlText w:val="o"/>
      <w:lvlJc w:val="left"/>
      <w:pPr>
        <w:ind w:left="6508" w:hanging="360"/>
      </w:pPr>
      <w:rPr>
        <w:rFonts w:ascii="Courier New" w:hAnsi="Courier New" w:cs="Courier New" w:hint="default"/>
      </w:rPr>
    </w:lvl>
    <w:lvl w:ilvl="8" w:tplc="040A0005" w:tentative="1">
      <w:start w:val="1"/>
      <w:numFmt w:val="bullet"/>
      <w:lvlText w:val=""/>
      <w:lvlJc w:val="left"/>
      <w:pPr>
        <w:ind w:left="7228" w:hanging="360"/>
      </w:pPr>
      <w:rPr>
        <w:rFonts w:ascii="Wingdings" w:hAnsi="Wingdings" w:hint="default"/>
      </w:rPr>
    </w:lvl>
  </w:abstractNum>
  <w:num w:numId="1">
    <w:abstractNumId w:val="1"/>
  </w:num>
  <w:num w:numId="2">
    <w:abstractNumId w:val="0"/>
  </w:num>
  <w:num w:numId="3">
    <w:abstractNumId w:val="16"/>
  </w:num>
  <w:num w:numId="4">
    <w:abstractNumId w:val="14"/>
  </w:num>
  <w:num w:numId="5">
    <w:abstractNumId w:val="18"/>
  </w:num>
  <w:num w:numId="6">
    <w:abstractNumId w:val="12"/>
  </w:num>
  <w:num w:numId="7">
    <w:abstractNumId w:val="6"/>
  </w:num>
  <w:num w:numId="8">
    <w:abstractNumId w:val="9"/>
  </w:num>
  <w:num w:numId="9">
    <w:abstractNumId w:val="8"/>
  </w:num>
  <w:num w:numId="10">
    <w:abstractNumId w:val="3"/>
  </w:num>
  <w:num w:numId="11">
    <w:abstractNumId w:val="13"/>
  </w:num>
  <w:num w:numId="12">
    <w:abstractNumId w:val="15"/>
  </w:num>
  <w:num w:numId="13">
    <w:abstractNumId w:val="10"/>
  </w:num>
  <w:num w:numId="14">
    <w:abstractNumId w:val="11"/>
  </w:num>
  <w:num w:numId="15">
    <w:abstractNumId w:val="2"/>
  </w:num>
  <w:num w:numId="16">
    <w:abstractNumId w:val="17"/>
  </w:num>
  <w:num w:numId="17">
    <w:abstractNumId w:val="4"/>
  </w:num>
  <w:num w:numId="18">
    <w:abstractNumId w:val="5"/>
  </w:num>
  <w:num w:numId="19">
    <w:abstractNumId w:val="7"/>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07C"/>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7B6"/>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5364"/>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635"/>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58C0"/>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3395"/>
    <w:rsid w:val="008757CC"/>
    <w:rsid w:val="008765DF"/>
    <w:rsid w:val="00876EC4"/>
    <w:rsid w:val="00877453"/>
    <w:rsid w:val="0088064F"/>
    <w:rsid w:val="00880D5D"/>
    <w:rsid w:val="008833CD"/>
    <w:rsid w:val="008841D4"/>
    <w:rsid w:val="00885725"/>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591"/>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11D1"/>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74E9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7A45-3ABB-4DD9-975C-F98BC057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190</cp:revision>
  <cp:lastPrinted>2019-08-14T19:53:00Z</cp:lastPrinted>
  <dcterms:created xsi:type="dcterms:W3CDTF">2018-05-02T21:37:00Z</dcterms:created>
  <dcterms:modified xsi:type="dcterms:W3CDTF">2019-08-28T17:35:00Z</dcterms:modified>
</cp:coreProperties>
</file>