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3B33B5">
        <w:rPr>
          <w:rFonts w:ascii="Arial" w:hAnsi="Arial" w:cs="Arial"/>
          <w:b/>
          <w:bCs/>
          <w:iCs/>
          <w:sz w:val="26"/>
          <w:szCs w:val="22"/>
          <w:lang w:val="es-CR"/>
        </w:rPr>
        <w:t>780</w:t>
      </w:r>
      <w:r w:rsidR="0097601A">
        <w:rPr>
          <w:rFonts w:ascii="Arial" w:hAnsi="Arial" w:cs="Arial"/>
          <w:b/>
          <w:bCs/>
          <w:iCs/>
          <w:sz w:val="26"/>
          <w:szCs w:val="22"/>
          <w:lang w:val="es-CR"/>
        </w:rPr>
        <w:t>-</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AA4B61" w:rsidRPr="00AA4B61" w:rsidRDefault="00957831" w:rsidP="00D243C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90700F" w:rsidRPr="009E28A0">
              <w:rPr>
                <w:rFonts w:ascii="Arial" w:eastAsia="Cambria" w:hAnsi="Arial" w:cs="Arial"/>
                <w:sz w:val="22"/>
                <w:szCs w:val="22"/>
                <w:lang w:val="es-ES_tradnl" w:eastAsia="en-US"/>
              </w:rPr>
              <w:t>, Rector</w:t>
            </w:r>
          </w:p>
          <w:p w:rsidR="003B33B5" w:rsidRPr="00771F15" w:rsidRDefault="003B33B5" w:rsidP="003B33B5">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Humberto Villalta Solano, Vicerrector de Administración</w:t>
            </w:r>
          </w:p>
          <w:p w:rsidR="003B33B5" w:rsidRPr="00771F15" w:rsidRDefault="003B33B5" w:rsidP="003B33B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B.Q. Grettel Castro Portuguez</w:t>
            </w:r>
            <w:r w:rsidRPr="00771F15">
              <w:rPr>
                <w:rFonts w:ascii="Arial" w:eastAsia="Cambria" w:hAnsi="Arial" w:cs="Arial"/>
                <w:sz w:val="22"/>
                <w:szCs w:val="22"/>
                <w:lang w:val="es-ES_tradnl" w:eastAsia="en-US"/>
              </w:rPr>
              <w:t>, Vicerrector</w:t>
            </w:r>
            <w:r>
              <w:rPr>
                <w:rFonts w:ascii="Arial" w:eastAsia="Cambria" w:hAnsi="Arial" w:cs="Arial"/>
                <w:sz w:val="22"/>
                <w:szCs w:val="22"/>
                <w:lang w:val="es-ES_tradnl" w:eastAsia="en-US"/>
              </w:rPr>
              <w:t>a</w:t>
            </w:r>
            <w:r w:rsidRPr="00771F15">
              <w:rPr>
                <w:rFonts w:ascii="Arial" w:eastAsia="Cambria" w:hAnsi="Arial" w:cs="Arial"/>
                <w:sz w:val="22"/>
                <w:szCs w:val="22"/>
                <w:lang w:val="es-ES_tradnl" w:eastAsia="en-US"/>
              </w:rPr>
              <w:t xml:space="preserve"> de Docencia </w:t>
            </w:r>
            <w:r>
              <w:rPr>
                <w:rFonts w:ascii="Arial" w:eastAsia="Cambria" w:hAnsi="Arial" w:cs="Arial"/>
                <w:sz w:val="22"/>
                <w:szCs w:val="22"/>
                <w:lang w:val="es-ES_tradnl" w:eastAsia="en-US"/>
              </w:rPr>
              <w:t>y Presidenta Consejo Docencia</w:t>
            </w:r>
          </w:p>
          <w:p w:rsidR="003B33B5" w:rsidRPr="00771F15" w:rsidRDefault="003B33B5" w:rsidP="003B33B5">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Jorge Chaves Arce</w:t>
            </w:r>
            <w:r w:rsidRPr="00771F15">
              <w:rPr>
                <w:rFonts w:ascii="Arial" w:eastAsia="Cambria" w:hAnsi="Arial" w:cs="Arial"/>
                <w:sz w:val="22"/>
                <w:szCs w:val="22"/>
                <w:lang w:val="es-ES_tradnl" w:eastAsia="en-US"/>
              </w:rPr>
              <w:t xml:space="preserve">, Vicerrector de Investigación y Extensión </w:t>
            </w:r>
          </w:p>
          <w:p w:rsidR="003B33B5" w:rsidRPr="00771F15" w:rsidRDefault="003B33B5" w:rsidP="003B33B5">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Dra. Claudia Madrizova </w:t>
            </w:r>
            <w:proofErr w:type="spellStart"/>
            <w:r w:rsidRPr="00771F15">
              <w:rPr>
                <w:rFonts w:ascii="Arial" w:eastAsia="Cambria" w:hAnsi="Arial" w:cs="Arial"/>
                <w:sz w:val="22"/>
                <w:szCs w:val="22"/>
                <w:lang w:val="es-ES_tradnl" w:eastAsia="en-US"/>
              </w:rPr>
              <w:t>Madrizova</w:t>
            </w:r>
            <w:proofErr w:type="spellEnd"/>
            <w:r w:rsidRPr="00771F15">
              <w:rPr>
                <w:rFonts w:ascii="Arial" w:eastAsia="Cambria" w:hAnsi="Arial" w:cs="Arial"/>
                <w:sz w:val="22"/>
                <w:szCs w:val="22"/>
                <w:lang w:val="es-ES_tradnl" w:eastAsia="en-US"/>
              </w:rPr>
              <w:t xml:space="preserve">, Vicerrectora de Vida Estudiantil y Servicios Académicos </w:t>
            </w:r>
          </w:p>
          <w:p w:rsidR="003B33B5" w:rsidRPr="00771F15" w:rsidRDefault="003B33B5" w:rsidP="003B33B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771F15">
              <w:rPr>
                <w:rFonts w:ascii="Arial" w:eastAsia="Cambria" w:hAnsi="Arial" w:cs="Arial"/>
                <w:sz w:val="22"/>
                <w:szCs w:val="22"/>
                <w:lang w:val="es-ES_tradnl" w:eastAsia="en-US"/>
              </w:rPr>
              <w:t xml:space="preserve">,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Carlos</w:t>
            </w:r>
          </w:p>
          <w:p w:rsidR="003B33B5" w:rsidRPr="00771F15" w:rsidRDefault="003B33B5" w:rsidP="003B33B5">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José</w:t>
            </w:r>
          </w:p>
          <w:p w:rsidR="003B33B5" w:rsidRPr="00771F15" w:rsidRDefault="003B33B5" w:rsidP="003B33B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Jean Carlo Miranda Fajardo</w:t>
            </w:r>
            <w:r w:rsidRPr="00771F15">
              <w:rPr>
                <w:rFonts w:ascii="Arial" w:eastAsia="Cambria" w:hAnsi="Arial" w:cs="Arial"/>
                <w:sz w:val="22"/>
                <w:szCs w:val="22"/>
                <w:lang w:val="es-ES_tradnl" w:eastAsia="en-US"/>
              </w:rPr>
              <w:t xml:space="preserve">, Director Centro Académico de </w:t>
            </w:r>
            <w:r>
              <w:rPr>
                <w:rFonts w:ascii="Arial" w:eastAsia="Cambria" w:hAnsi="Arial" w:cs="Arial"/>
                <w:sz w:val="22"/>
                <w:szCs w:val="22"/>
                <w:lang w:val="es-ES_tradnl" w:eastAsia="en-US"/>
              </w:rPr>
              <w:t xml:space="preserve">Limón </w:t>
            </w:r>
          </w:p>
          <w:p w:rsidR="003B33B5" w:rsidRPr="00771F15" w:rsidRDefault="003B33B5" w:rsidP="003B33B5">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Roberto Pereira Arroyo, Director Centro Académico de Alajuela</w:t>
            </w:r>
          </w:p>
          <w:p w:rsidR="003B33B5" w:rsidRDefault="003B33B5" w:rsidP="003B33B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José Antonio Sánchez Sanabria</w:t>
            </w:r>
            <w:r w:rsidRPr="00771F15">
              <w:rPr>
                <w:rFonts w:ascii="Arial" w:eastAsia="Cambria" w:hAnsi="Arial" w:cs="Arial"/>
                <w:sz w:val="22"/>
                <w:szCs w:val="22"/>
                <w:lang w:val="es-ES_tradnl" w:eastAsia="en-US"/>
              </w:rPr>
              <w:t>, Director Oficina de Planificación Institucional</w:t>
            </w:r>
          </w:p>
          <w:p w:rsidR="003B33B5" w:rsidRDefault="003B33B5" w:rsidP="003B33B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Comunidad Institucional </w:t>
            </w:r>
          </w:p>
          <w:p w:rsidR="00BF6609" w:rsidRPr="009E28A0" w:rsidRDefault="00BF6609" w:rsidP="001969BE">
            <w:pPr>
              <w:autoSpaceDE w:val="0"/>
              <w:autoSpaceDN w:val="0"/>
              <w:adjustRightInd w:val="0"/>
              <w:ind w:right="-91"/>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6D0CA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337E83"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p>
          <w:p w:rsidR="007742A1" w:rsidRPr="008E0D8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0F517D"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1969BE">
              <w:rPr>
                <w:rFonts w:ascii="Arial" w:eastAsia="Cambria" w:hAnsi="Arial" w:cs="Arial"/>
                <w:b/>
                <w:sz w:val="22"/>
                <w:szCs w:val="22"/>
                <w:lang w:val="es-ES_tradnl" w:eastAsia="en-US"/>
              </w:rPr>
              <w:t>8</w:t>
            </w:r>
            <w:r w:rsidR="000857E5">
              <w:rPr>
                <w:rFonts w:ascii="Arial" w:eastAsia="Cambria" w:hAnsi="Arial" w:cs="Arial"/>
                <w:b/>
                <w:sz w:val="22"/>
                <w:szCs w:val="22"/>
                <w:lang w:val="es-ES_tradnl" w:eastAsia="en-US"/>
              </w:rPr>
              <w:t xml:space="preserve"> de </w:t>
            </w:r>
            <w:r w:rsidR="005463AC">
              <w:rPr>
                <w:rFonts w:ascii="Arial" w:eastAsia="Cambria" w:hAnsi="Arial" w:cs="Arial"/>
                <w:b/>
                <w:sz w:val="22"/>
                <w:szCs w:val="22"/>
                <w:lang w:val="es-ES_tradnl" w:eastAsia="en-US"/>
              </w:rPr>
              <w:t>agosto</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F2344D"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E53665" w:rsidRDefault="00FF209C" w:rsidP="001969BE">
            <w:pPr>
              <w:jc w:val="both"/>
              <w:rPr>
                <w:rFonts w:ascii="Arial" w:hAnsi="Arial" w:cs="Arial"/>
                <w:color w:val="000000" w:themeColor="text1"/>
                <w:sz w:val="22"/>
                <w:szCs w:val="22"/>
              </w:rPr>
            </w:pPr>
            <w:r w:rsidRPr="00F2344D">
              <w:rPr>
                <w:rFonts w:ascii="Arial" w:eastAsia="Calibri" w:hAnsi="Arial" w:cs="Arial"/>
                <w:b/>
                <w:sz w:val="22"/>
                <w:szCs w:val="22"/>
              </w:rPr>
              <w:t>S</w:t>
            </w:r>
            <w:r w:rsidR="007742A1" w:rsidRPr="00F2344D">
              <w:rPr>
                <w:rFonts w:ascii="Arial" w:eastAsia="Calibri" w:hAnsi="Arial" w:cs="Arial"/>
                <w:b/>
                <w:sz w:val="22"/>
                <w:szCs w:val="22"/>
              </w:rPr>
              <w:t xml:space="preserve">esión Ordinaria No. </w:t>
            </w:r>
            <w:r w:rsidR="00337455" w:rsidRPr="00F2344D">
              <w:rPr>
                <w:rFonts w:ascii="Arial" w:eastAsia="Calibri" w:hAnsi="Arial" w:cs="Arial"/>
                <w:b/>
                <w:sz w:val="22"/>
                <w:szCs w:val="22"/>
              </w:rPr>
              <w:t>3</w:t>
            </w:r>
            <w:r w:rsidR="003F3400" w:rsidRPr="00F2344D">
              <w:rPr>
                <w:rFonts w:ascii="Arial" w:eastAsia="Calibri" w:hAnsi="Arial" w:cs="Arial"/>
                <w:b/>
                <w:sz w:val="22"/>
                <w:szCs w:val="22"/>
              </w:rPr>
              <w:t>1</w:t>
            </w:r>
            <w:r w:rsidR="005463AC">
              <w:rPr>
                <w:rFonts w:ascii="Arial" w:eastAsia="Calibri" w:hAnsi="Arial" w:cs="Arial"/>
                <w:b/>
                <w:sz w:val="22"/>
                <w:szCs w:val="22"/>
              </w:rPr>
              <w:t>3</w:t>
            </w:r>
            <w:r w:rsidR="001969BE">
              <w:rPr>
                <w:rFonts w:ascii="Arial" w:eastAsia="Calibri" w:hAnsi="Arial" w:cs="Arial"/>
                <w:b/>
                <w:sz w:val="22"/>
                <w:szCs w:val="22"/>
              </w:rPr>
              <w:t>3</w:t>
            </w:r>
            <w:r w:rsidR="007742A1" w:rsidRPr="00F2344D">
              <w:rPr>
                <w:rFonts w:ascii="Arial" w:eastAsia="Calibri" w:hAnsi="Arial" w:cs="Arial"/>
                <w:b/>
                <w:sz w:val="22"/>
                <w:szCs w:val="22"/>
              </w:rPr>
              <w:t>, Artículo</w:t>
            </w:r>
            <w:r w:rsidR="00A5669A" w:rsidRPr="00F2344D">
              <w:rPr>
                <w:rFonts w:ascii="Arial" w:eastAsia="Calibri" w:hAnsi="Arial" w:cs="Arial"/>
                <w:b/>
                <w:sz w:val="22"/>
                <w:szCs w:val="22"/>
              </w:rPr>
              <w:t xml:space="preserve"> </w:t>
            </w:r>
            <w:r w:rsidR="00A422FE">
              <w:rPr>
                <w:rFonts w:ascii="Arial" w:eastAsia="Calibri" w:hAnsi="Arial" w:cs="Arial"/>
                <w:b/>
                <w:sz w:val="22"/>
                <w:szCs w:val="22"/>
              </w:rPr>
              <w:t>7</w:t>
            </w:r>
            <w:r w:rsidR="00FF3C43" w:rsidRPr="00F2344D">
              <w:rPr>
                <w:rFonts w:ascii="Arial" w:eastAsia="Calibri" w:hAnsi="Arial" w:cs="Arial"/>
                <w:b/>
                <w:sz w:val="22"/>
                <w:szCs w:val="22"/>
              </w:rPr>
              <w:t>,</w:t>
            </w:r>
            <w:r w:rsidR="007742A1" w:rsidRPr="00F2344D">
              <w:rPr>
                <w:rFonts w:ascii="Arial" w:eastAsia="Calibri" w:hAnsi="Arial" w:cs="Arial"/>
                <w:b/>
                <w:sz w:val="22"/>
                <w:szCs w:val="22"/>
              </w:rPr>
              <w:t xml:space="preserve"> del </w:t>
            </w:r>
            <w:r w:rsidR="000F517D">
              <w:rPr>
                <w:rFonts w:ascii="Arial" w:eastAsia="Calibri" w:hAnsi="Arial" w:cs="Arial"/>
                <w:b/>
                <w:sz w:val="22"/>
                <w:szCs w:val="22"/>
              </w:rPr>
              <w:t>2</w:t>
            </w:r>
            <w:r w:rsidR="001969BE">
              <w:rPr>
                <w:rFonts w:ascii="Arial" w:eastAsia="Calibri" w:hAnsi="Arial" w:cs="Arial"/>
                <w:b/>
                <w:sz w:val="22"/>
                <w:szCs w:val="22"/>
              </w:rPr>
              <w:t>8</w:t>
            </w:r>
            <w:r w:rsidR="005463AC">
              <w:rPr>
                <w:rFonts w:ascii="Arial" w:eastAsia="Calibri" w:hAnsi="Arial" w:cs="Arial"/>
                <w:b/>
                <w:sz w:val="22"/>
                <w:szCs w:val="22"/>
              </w:rPr>
              <w:t xml:space="preserve"> de agosto </w:t>
            </w:r>
            <w:r w:rsidR="00A772EF" w:rsidRPr="00F2344D">
              <w:rPr>
                <w:rFonts w:ascii="Arial" w:eastAsia="Calibri" w:hAnsi="Arial" w:cs="Arial"/>
                <w:b/>
                <w:sz w:val="22"/>
                <w:szCs w:val="22"/>
              </w:rPr>
              <w:t>de 201</w:t>
            </w:r>
            <w:r w:rsidR="00AA61D4" w:rsidRPr="00F2344D">
              <w:rPr>
                <w:rFonts w:ascii="Arial" w:eastAsia="Calibri" w:hAnsi="Arial" w:cs="Arial"/>
                <w:b/>
                <w:sz w:val="22"/>
                <w:szCs w:val="22"/>
              </w:rPr>
              <w:t>9</w:t>
            </w:r>
            <w:r w:rsidR="00925985" w:rsidRPr="00F2344D">
              <w:rPr>
                <w:rFonts w:ascii="Arial" w:eastAsia="Calibri" w:hAnsi="Arial" w:cs="Arial"/>
                <w:b/>
                <w:sz w:val="22"/>
                <w:szCs w:val="22"/>
              </w:rPr>
              <w:t>.</w:t>
            </w:r>
            <w:r w:rsidR="00957831">
              <w:rPr>
                <w:rFonts w:ascii="Arial" w:eastAsia="Calibri" w:hAnsi="Arial" w:cs="Arial"/>
                <w:b/>
                <w:sz w:val="22"/>
                <w:szCs w:val="22"/>
              </w:rPr>
              <w:t xml:space="preserve">  </w:t>
            </w:r>
            <w:r w:rsidR="001969BE" w:rsidRPr="001969BE">
              <w:rPr>
                <w:rFonts w:ascii="Arial" w:eastAsia="Cambria" w:hAnsi="Arial" w:cs="Arial"/>
                <w:b/>
                <w:bCs/>
                <w:sz w:val="22"/>
                <w:szCs w:val="22"/>
                <w:lang w:val="es-CR" w:eastAsia="en-US"/>
              </w:rPr>
              <w:t>Consulta a la Comunidad Institucional y al Consejo de Docencia la Reforma del “Reglamento del Régimen de Enseñanza-Aprendizaje del Instituto Tecnológico de Costa Rica” consistente en la introducción de un artículo 34 BIS que permita a los Directores de Escuela o Coordinadores de carrera autorizar matrícula con choque de horario en casos justificados</w:t>
            </w:r>
          </w:p>
        </w:tc>
      </w:tr>
    </w:tbl>
    <w:p w:rsidR="00FF209C" w:rsidRDefault="00FF209C" w:rsidP="007742A1">
      <w:pPr>
        <w:jc w:val="both"/>
        <w:rPr>
          <w:rFonts w:ascii="Arial" w:eastAsia="Cambria" w:hAnsi="Arial" w:cs="Arial"/>
          <w:lang w:val="es-ES_tradnl" w:eastAsia="en-US"/>
        </w:rPr>
      </w:pPr>
    </w:p>
    <w:p w:rsidR="009A194D" w:rsidRDefault="007742A1" w:rsidP="009A194D">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B33B5" w:rsidRDefault="003B33B5" w:rsidP="009A194D">
      <w:pPr>
        <w:jc w:val="both"/>
        <w:rPr>
          <w:rFonts w:ascii="Arial" w:eastAsia="Cambria" w:hAnsi="Arial" w:cs="Arial"/>
          <w:lang w:val="es-ES_tradnl" w:eastAsia="en-US"/>
        </w:rPr>
      </w:pPr>
    </w:p>
    <w:p w:rsidR="003B33B5" w:rsidRPr="003B33B5" w:rsidRDefault="003B33B5" w:rsidP="003B33B5">
      <w:pPr>
        <w:tabs>
          <w:tab w:val="left" w:pos="3070"/>
        </w:tabs>
        <w:contextualSpacing/>
        <w:jc w:val="both"/>
        <w:outlineLvl w:val="0"/>
        <w:rPr>
          <w:rFonts w:ascii="Arial" w:eastAsia="Cambria" w:hAnsi="Arial" w:cs="Arial"/>
          <w:b/>
          <w:lang w:val="es-ES_tradnl" w:eastAsia="en-US"/>
        </w:rPr>
      </w:pPr>
      <w:r w:rsidRPr="003B33B5">
        <w:rPr>
          <w:rFonts w:ascii="Arial" w:eastAsia="Cambria" w:hAnsi="Arial" w:cs="Arial"/>
          <w:b/>
          <w:lang w:val="es-ES_tradnl" w:eastAsia="en-US"/>
        </w:rPr>
        <w:t>RESULTANDO QUE:</w:t>
      </w:r>
    </w:p>
    <w:p w:rsidR="003B33B5" w:rsidRPr="003B33B5" w:rsidRDefault="003B33B5" w:rsidP="003B33B5">
      <w:pPr>
        <w:tabs>
          <w:tab w:val="left" w:pos="3070"/>
        </w:tabs>
        <w:contextualSpacing/>
        <w:jc w:val="both"/>
        <w:outlineLvl w:val="0"/>
        <w:rPr>
          <w:rFonts w:ascii="Arial" w:eastAsia="Cambria" w:hAnsi="Arial" w:cs="Arial"/>
          <w:b/>
          <w:lang w:val="es-ES_tradnl" w:eastAsia="en-US"/>
        </w:rPr>
      </w:pPr>
    </w:p>
    <w:p w:rsidR="003B33B5" w:rsidRPr="003B33B5" w:rsidRDefault="003B33B5" w:rsidP="003B33B5">
      <w:pPr>
        <w:numPr>
          <w:ilvl w:val="0"/>
          <w:numId w:val="22"/>
        </w:numPr>
        <w:ind w:left="426" w:hanging="426"/>
        <w:jc w:val="both"/>
        <w:rPr>
          <w:rFonts w:ascii="Arial" w:eastAsia="Cambria" w:hAnsi="Arial" w:cs="Arial"/>
          <w:lang w:val="es-ES_tradnl" w:eastAsia="en-US"/>
        </w:rPr>
      </w:pPr>
      <w:r w:rsidRPr="003B33B5">
        <w:rPr>
          <w:rFonts w:ascii="Arial" w:eastAsia="Cambria" w:hAnsi="Arial" w:cs="Arial"/>
          <w:lang w:val="es-ES_tradnl" w:eastAsia="en-US"/>
        </w:rPr>
        <w:t>El Estatuto Orgánico del Instituto Tecnológico de Costa Rica en su artículo 18, señala:</w:t>
      </w:r>
    </w:p>
    <w:p w:rsidR="003B33B5" w:rsidRPr="003B33B5" w:rsidRDefault="003B33B5" w:rsidP="003B33B5"/>
    <w:p w:rsidR="003B33B5" w:rsidRPr="003B33B5" w:rsidRDefault="003B33B5" w:rsidP="003B33B5">
      <w:pPr>
        <w:overflowPunct w:val="0"/>
        <w:autoSpaceDE w:val="0"/>
        <w:autoSpaceDN w:val="0"/>
        <w:adjustRightInd w:val="0"/>
        <w:ind w:left="1276" w:right="618" w:hanging="426"/>
        <w:jc w:val="both"/>
        <w:textAlignment w:val="baseline"/>
        <w:rPr>
          <w:rFonts w:ascii="Arial" w:eastAsia="Cambria" w:hAnsi="Arial" w:cs="Arial"/>
          <w:i/>
          <w:sz w:val="20"/>
          <w:szCs w:val="20"/>
          <w:lang w:val="es-ES_tradnl" w:eastAsia="en-US"/>
        </w:rPr>
      </w:pPr>
      <w:r w:rsidRPr="003B33B5">
        <w:rPr>
          <w:rFonts w:ascii="Arial" w:eastAsia="Cambria" w:hAnsi="Arial" w:cs="Arial"/>
          <w:i/>
          <w:sz w:val="20"/>
          <w:szCs w:val="20"/>
          <w:lang w:val="es-ES_tradnl" w:eastAsia="en-US"/>
        </w:rPr>
        <w:t>“Son funciones del Consejo Institucional:</w:t>
      </w:r>
    </w:p>
    <w:p w:rsidR="003B33B5" w:rsidRPr="003B33B5" w:rsidRDefault="003B33B5" w:rsidP="003B33B5">
      <w:pPr>
        <w:overflowPunct w:val="0"/>
        <w:autoSpaceDE w:val="0"/>
        <w:autoSpaceDN w:val="0"/>
        <w:adjustRightInd w:val="0"/>
        <w:ind w:left="1276" w:right="618" w:hanging="426"/>
        <w:jc w:val="both"/>
        <w:textAlignment w:val="baseline"/>
        <w:rPr>
          <w:rFonts w:ascii="Arial" w:eastAsia="Cambria" w:hAnsi="Arial" w:cs="Arial"/>
          <w:i/>
          <w:sz w:val="20"/>
          <w:szCs w:val="20"/>
          <w:lang w:val="es-ES_tradnl" w:eastAsia="en-US"/>
        </w:rPr>
      </w:pPr>
      <w:r w:rsidRPr="003B33B5">
        <w:rPr>
          <w:rFonts w:ascii="Arial" w:eastAsia="Cambria" w:hAnsi="Arial" w:cs="Arial"/>
          <w:i/>
          <w:sz w:val="20"/>
          <w:szCs w:val="20"/>
          <w:lang w:val="es-ES_tradnl" w:eastAsia="en-US"/>
        </w:rPr>
        <w:t>…</w:t>
      </w:r>
    </w:p>
    <w:p w:rsidR="003B33B5" w:rsidRPr="003B33B5" w:rsidRDefault="003B33B5" w:rsidP="003B33B5">
      <w:pPr>
        <w:overflowPunct w:val="0"/>
        <w:autoSpaceDE w:val="0"/>
        <w:autoSpaceDN w:val="0"/>
        <w:adjustRightInd w:val="0"/>
        <w:ind w:left="1276" w:right="618" w:hanging="426"/>
        <w:jc w:val="both"/>
        <w:textAlignment w:val="baseline"/>
        <w:rPr>
          <w:rFonts w:ascii="Arial" w:eastAsia="Cambria" w:hAnsi="Arial" w:cs="Arial"/>
          <w:i/>
          <w:sz w:val="20"/>
          <w:szCs w:val="20"/>
          <w:lang w:val="es-ES_tradnl" w:eastAsia="en-US"/>
        </w:rPr>
      </w:pPr>
      <w:r w:rsidRPr="003B33B5">
        <w:rPr>
          <w:rFonts w:ascii="Arial" w:eastAsia="Cambria" w:hAnsi="Arial" w:cs="Arial"/>
          <w:i/>
          <w:sz w:val="20"/>
          <w:szCs w:val="20"/>
          <w:lang w:val="es-ES_tradnl" w:eastAsia="en-US"/>
        </w:rPr>
        <w:t>f.</w:t>
      </w:r>
      <w:r w:rsidRPr="003B33B5">
        <w:rPr>
          <w:rFonts w:ascii="Arial" w:eastAsia="Cambria" w:hAnsi="Arial" w:cs="Arial"/>
          <w:i/>
          <w:sz w:val="20"/>
          <w:szCs w:val="20"/>
          <w:lang w:val="es-ES_tradnl" w:eastAsia="en-US"/>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3B33B5" w:rsidRPr="003B33B5" w:rsidRDefault="003B33B5" w:rsidP="003B33B5">
      <w:pPr>
        <w:tabs>
          <w:tab w:val="left" w:pos="3070"/>
        </w:tabs>
        <w:contextualSpacing/>
        <w:jc w:val="both"/>
        <w:outlineLvl w:val="0"/>
        <w:rPr>
          <w:rFonts w:ascii="Arial" w:eastAsia="Cambria" w:hAnsi="Arial" w:cs="Arial"/>
          <w:b/>
          <w:lang w:val="es-ES_tradnl" w:eastAsia="en-US"/>
        </w:rPr>
      </w:pPr>
    </w:p>
    <w:p w:rsidR="003B33B5" w:rsidRPr="003B33B5" w:rsidRDefault="003B33B5" w:rsidP="003B33B5">
      <w:pPr>
        <w:numPr>
          <w:ilvl w:val="0"/>
          <w:numId w:val="22"/>
        </w:numPr>
        <w:ind w:left="426" w:hanging="426"/>
        <w:jc w:val="both"/>
        <w:rPr>
          <w:rFonts w:ascii="Arial" w:eastAsia="Cambria" w:hAnsi="Arial" w:cs="Arial"/>
          <w:lang w:val="es-ES_tradnl" w:eastAsia="en-US"/>
        </w:rPr>
      </w:pPr>
      <w:r w:rsidRPr="003B33B5">
        <w:rPr>
          <w:rFonts w:ascii="Arial" w:eastAsia="Cambria" w:hAnsi="Arial" w:cs="Arial"/>
          <w:lang w:val="es-ES_tradnl" w:eastAsia="en-US"/>
        </w:rPr>
        <w:t>En la Sesión 1972, Artículo 1, del 09 de diciembre de 1997, el Consejo Institucional reformó el “Reglamento del Régimen de Enseñanza-Aprendizaje del Instituto Tecnológico de Costa Rica”, de manera que el texto del artículo 33 fuera el siguiente:</w:t>
      </w:r>
    </w:p>
    <w:p w:rsidR="003B33B5" w:rsidRDefault="003B33B5" w:rsidP="003B33B5">
      <w:pPr>
        <w:jc w:val="both"/>
        <w:rPr>
          <w:rFonts w:ascii="Arial" w:eastAsia="Cambria" w:hAnsi="Arial" w:cs="Arial"/>
          <w:lang w:val="es-ES_tradnl" w:eastAsia="en-US"/>
        </w:rPr>
      </w:pPr>
    </w:p>
    <w:p w:rsidR="003B33B5" w:rsidRDefault="003B33B5" w:rsidP="003B33B5">
      <w:pPr>
        <w:jc w:val="both"/>
        <w:rPr>
          <w:rFonts w:ascii="Arial" w:eastAsia="Cambria" w:hAnsi="Arial" w:cs="Arial"/>
          <w:lang w:val="es-ES_tradnl" w:eastAsia="en-US"/>
        </w:rPr>
      </w:pPr>
    </w:p>
    <w:p w:rsidR="003B33B5" w:rsidRDefault="003B33B5" w:rsidP="003B33B5">
      <w:pPr>
        <w:jc w:val="both"/>
        <w:rPr>
          <w:rFonts w:ascii="Arial" w:eastAsia="Cambria" w:hAnsi="Arial" w:cs="Arial"/>
          <w:lang w:val="es-ES_tradnl" w:eastAsia="en-US"/>
        </w:rPr>
      </w:pPr>
    </w:p>
    <w:p w:rsidR="003B33B5" w:rsidRPr="003B33B5" w:rsidRDefault="003B33B5" w:rsidP="003B33B5">
      <w:pPr>
        <w:jc w:val="both"/>
        <w:rPr>
          <w:rFonts w:ascii="Arial" w:eastAsia="Cambria" w:hAnsi="Arial" w:cs="Arial"/>
          <w:lang w:val="es-ES_tradnl" w:eastAsia="en-US"/>
        </w:rPr>
      </w:pPr>
    </w:p>
    <w:p w:rsidR="003B33B5" w:rsidRPr="003B33B5" w:rsidRDefault="003B33B5" w:rsidP="003B33B5">
      <w:pPr>
        <w:overflowPunct w:val="0"/>
        <w:autoSpaceDE w:val="0"/>
        <w:autoSpaceDN w:val="0"/>
        <w:adjustRightInd w:val="0"/>
        <w:ind w:left="1276" w:right="618" w:hanging="426"/>
        <w:jc w:val="both"/>
        <w:textAlignment w:val="baseline"/>
        <w:rPr>
          <w:rFonts w:ascii="Arial" w:eastAsia="Cambria" w:hAnsi="Arial" w:cs="Arial"/>
          <w:i/>
          <w:sz w:val="20"/>
          <w:szCs w:val="20"/>
          <w:lang w:val="es-ES_tradnl" w:eastAsia="en-US"/>
        </w:rPr>
      </w:pPr>
      <w:r w:rsidRPr="003B33B5">
        <w:rPr>
          <w:rFonts w:ascii="Arial" w:eastAsia="Cambria" w:hAnsi="Arial" w:cs="Arial"/>
          <w:i/>
          <w:sz w:val="20"/>
          <w:szCs w:val="20"/>
          <w:lang w:val="es-ES_tradnl" w:eastAsia="en-US"/>
        </w:rPr>
        <w:lastRenderedPageBreak/>
        <w:t>“ARTICULO 33</w:t>
      </w:r>
    </w:p>
    <w:p w:rsidR="003B33B5" w:rsidRPr="003B33B5" w:rsidRDefault="003B33B5" w:rsidP="003B33B5">
      <w:pPr>
        <w:overflowPunct w:val="0"/>
        <w:autoSpaceDE w:val="0"/>
        <w:autoSpaceDN w:val="0"/>
        <w:adjustRightInd w:val="0"/>
        <w:ind w:left="1276" w:right="618" w:hanging="426"/>
        <w:jc w:val="both"/>
        <w:textAlignment w:val="baseline"/>
        <w:rPr>
          <w:rFonts w:ascii="Arial" w:eastAsia="Cambria" w:hAnsi="Arial" w:cs="Arial"/>
          <w:i/>
          <w:sz w:val="20"/>
          <w:szCs w:val="20"/>
          <w:lang w:val="es-ES_tradnl" w:eastAsia="en-US"/>
        </w:rPr>
      </w:pPr>
    </w:p>
    <w:p w:rsidR="003B33B5" w:rsidRPr="003B33B5" w:rsidRDefault="003B33B5" w:rsidP="003B33B5">
      <w:pPr>
        <w:overflowPunct w:val="0"/>
        <w:autoSpaceDE w:val="0"/>
        <w:autoSpaceDN w:val="0"/>
        <w:adjustRightInd w:val="0"/>
        <w:ind w:left="851" w:right="618"/>
        <w:jc w:val="both"/>
        <w:textAlignment w:val="baseline"/>
        <w:rPr>
          <w:rFonts w:ascii="Arial" w:eastAsia="Cambria" w:hAnsi="Arial" w:cs="Arial"/>
          <w:i/>
          <w:sz w:val="20"/>
          <w:szCs w:val="20"/>
          <w:lang w:val="es-ES_tradnl" w:eastAsia="en-US"/>
        </w:rPr>
      </w:pPr>
      <w:r w:rsidRPr="003B33B5">
        <w:rPr>
          <w:rFonts w:ascii="Arial" w:eastAsia="Cambria" w:hAnsi="Arial" w:cs="Arial"/>
          <w:i/>
          <w:sz w:val="20"/>
          <w:szCs w:val="20"/>
          <w:lang w:val="es-ES_tradnl" w:eastAsia="en-US"/>
        </w:rPr>
        <w:t xml:space="preserve">El estudiante realizará el proceso de su matrícula ajustándose a las limitaciones que imponen los requisitos y </w:t>
      </w:r>
      <w:proofErr w:type="spellStart"/>
      <w:r w:rsidRPr="003B33B5">
        <w:rPr>
          <w:rFonts w:ascii="Arial" w:eastAsia="Cambria" w:hAnsi="Arial" w:cs="Arial"/>
          <w:i/>
          <w:sz w:val="20"/>
          <w:szCs w:val="20"/>
          <w:lang w:val="es-ES_tradnl" w:eastAsia="en-US"/>
        </w:rPr>
        <w:t>correquisitos</w:t>
      </w:r>
      <w:proofErr w:type="spellEnd"/>
      <w:r w:rsidRPr="003B33B5">
        <w:rPr>
          <w:rFonts w:ascii="Arial" w:eastAsia="Cambria" w:hAnsi="Arial" w:cs="Arial"/>
          <w:i/>
          <w:sz w:val="20"/>
          <w:szCs w:val="20"/>
          <w:lang w:val="es-ES_tradnl" w:eastAsia="en-US"/>
        </w:rPr>
        <w:t>, y el horario de las asignaturas y las posibilidades del Instituto.</w:t>
      </w:r>
    </w:p>
    <w:p w:rsidR="003B33B5" w:rsidRPr="003B33B5" w:rsidRDefault="003B33B5" w:rsidP="003B33B5">
      <w:pPr>
        <w:overflowPunct w:val="0"/>
        <w:autoSpaceDE w:val="0"/>
        <w:autoSpaceDN w:val="0"/>
        <w:adjustRightInd w:val="0"/>
        <w:ind w:left="851" w:right="618"/>
        <w:jc w:val="both"/>
        <w:textAlignment w:val="baseline"/>
        <w:rPr>
          <w:rFonts w:ascii="Arial" w:eastAsia="Cambria" w:hAnsi="Arial" w:cs="Arial"/>
          <w:i/>
          <w:sz w:val="20"/>
          <w:szCs w:val="20"/>
          <w:lang w:val="es-ES_tradnl" w:eastAsia="en-US"/>
        </w:rPr>
      </w:pPr>
    </w:p>
    <w:p w:rsidR="003B33B5" w:rsidRPr="003B33B5" w:rsidRDefault="003B33B5" w:rsidP="003B33B5">
      <w:pPr>
        <w:overflowPunct w:val="0"/>
        <w:autoSpaceDE w:val="0"/>
        <w:autoSpaceDN w:val="0"/>
        <w:adjustRightInd w:val="0"/>
        <w:ind w:left="851" w:right="618"/>
        <w:jc w:val="both"/>
        <w:textAlignment w:val="baseline"/>
        <w:rPr>
          <w:rFonts w:ascii="Arial" w:eastAsia="Cambria" w:hAnsi="Arial" w:cs="Arial"/>
          <w:i/>
          <w:sz w:val="20"/>
          <w:szCs w:val="20"/>
          <w:lang w:val="es-ES_tradnl" w:eastAsia="en-US"/>
        </w:rPr>
      </w:pPr>
      <w:r w:rsidRPr="003B33B5">
        <w:rPr>
          <w:rFonts w:ascii="Arial" w:eastAsia="Cambria" w:hAnsi="Arial" w:cs="Arial"/>
          <w:i/>
          <w:sz w:val="20"/>
          <w:szCs w:val="20"/>
          <w:lang w:val="es-ES_tradnl" w:eastAsia="en-US"/>
        </w:rPr>
        <w:t>Solo en casos calificados por el Director del Departamento de Carrera, el Departamento de Admisión y Registro aceptará matrículas con choque de horario.”</w:t>
      </w:r>
    </w:p>
    <w:p w:rsidR="003B33B5" w:rsidRPr="003B33B5" w:rsidRDefault="003B33B5" w:rsidP="003B33B5">
      <w:pPr>
        <w:ind w:left="851" w:right="474"/>
        <w:jc w:val="both"/>
        <w:rPr>
          <w:rFonts w:ascii="Arial" w:hAnsi="Arial" w:cs="Arial"/>
          <w:sz w:val="22"/>
          <w:szCs w:val="22"/>
          <w:lang w:val="es-ES_tradnl" w:eastAsia="es-CR"/>
        </w:rPr>
      </w:pPr>
    </w:p>
    <w:p w:rsidR="003B33B5" w:rsidRPr="003B33B5" w:rsidRDefault="003B33B5" w:rsidP="003B33B5">
      <w:pPr>
        <w:numPr>
          <w:ilvl w:val="0"/>
          <w:numId w:val="22"/>
        </w:numPr>
        <w:ind w:left="426" w:hanging="426"/>
        <w:jc w:val="both"/>
        <w:rPr>
          <w:rFonts w:ascii="Arial" w:eastAsia="Cambria" w:hAnsi="Arial" w:cs="Arial"/>
          <w:lang w:val="es-ES_tradnl" w:eastAsia="en-US"/>
        </w:rPr>
      </w:pPr>
      <w:r w:rsidRPr="003B33B5">
        <w:rPr>
          <w:rFonts w:ascii="Arial" w:eastAsia="Cambria" w:hAnsi="Arial" w:cs="Arial"/>
          <w:lang w:val="es-ES_tradnl" w:eastAsia="en-US"/>
        </w:rPr>
        <w:t>La versión vigente del “Reglamento del Régimen de Enseñanza-Aprendizaje del Instituto Tecnológico de Costa Rica” no contiene el texto del artículo reseñado en el punto anterior, ni contiene disposición alguna sobre la matrícula con choque de horario.</w:t>
      </w:r>
    </w:p>
    <w:p w:rsidR="003B33B5" w:rsidRPr="003B33B5" w:rsidRDefault="003B33B5" w:rsidP="003B33B5">
      <w:pPr>
        <w:autoSpaceDE w:val="0"/>
        <w:autoSpaceDN w:val="0"/>
        <w:adjustRightInd w:val="0"/>
        <w:rPr>
          <w:rFonts w:ascii="Arial" w:eastAsia="Calibri" w:hAnsi="Arial" w:cs="Arial"/>
          <w:color w:val="000000"/>
          <w:lang w:val="es-CR" w:eastAsia="en-US"/>
        </w:rPr>
      </w:pPr>
    </w:p>
    <w:p w:rsidR="003B33B5" w:rsidRPr="003B33B5" w:rsidRDefault="003B33B5" w:rsidP="003B33B5">
      <w:pPr>
        <w:numPr>
          <w:ilvl w:val="0"/>
          <w:numId w:val="22"/>
        </w:numPr>
        <w:ind w:left="426" w:hanging="426"/>
        <w:jc w:val="both"/>
        <w:rPr>
          <w:rFonts w:ascii="Arial" w:eastAsia="Cambria" w:hAnsi="Arial" w:cs="Arial"/>
          <w:lang w:val="es-ES_tradnl" w:eastAsia="en-US"/>
        </w:rPr>
      </w:pPr>
      <w:r w:rsidRPr="003B33B5">
        <w:rPr>
          <w:rFonts w:ascii="Arial" w:eastAsia="Cambria" w:hAnsi="Arial" w:cs="Arial"/>
          <w:lang w:val="es-ES_tradnl" w:eastAsia="en-US"/>
        </w:rPr>
        <w:t>La Política General 8, aprobada por la Asamblea Institucional Representativa en la Sesión Ordinaria AIR-88-2015, establece lo siguiente:</w:t>
      </w:r>
    </w:p>
    <w:p w:rsidR="003B33B5" w:rsidRPr="003B33B5" w:rsidRDefault="003B33B5" w:rsidP="003B33B5">
      <w:pPr>
        <w:jc w:val="both"/>
        <w:rPr>
          <w:rFonts w:ascii="Arial" w:eastAsia="Calibri" w:hAnsi="Arial" w:cs="Arial"/>
          <w:color w:val="000000"/>
          <w:sz w:val="23"/>
          <w:szCs w:val="23"/>
          <w:lang w:val="es-CR" w:eastAsia="en-US"/>
        </w:rPr>
      </w:pPr>
    </w:p>
    <w:p w:rsidR="003B33B5" w:rsidRPr="003B33B5" w:rsidRDefault="003B33B5" w:rsidP="003B33B5">
      <w:pPr>
        <w:overflowPunct w:val="0"/>
        <w:autoSpaceDE w:val="0"/>
        <w:autoSpaceDN w:val="0"/>
        <w:adjustRightInd w:val="0"/>
        <w:ind w:left="851" w:right="618"/>
        <w:jc w:val="both"/>
        <w:textAlignment w:val="baseline"/>
        <w:rPr>
          <w:rFonts w:ascii="Arial" w:eastAsia="Cambria" w:hAnsi="Arial" w:cs="Arial"/>
          <w:i/>
          <w:sz w:val="20"/>
          <w:szCs w:val="20"/>
          <w:lang w:val="es-ES_tradnl" w:eastAsia="en-US"/>
        </w:rPr>
      </w:pPr>
      <w:r w:rsidRPr="003B33B5">
        <w:rPr>
          <w:rFonts w:ascii="Arial" w:eastAsia="Cambria" w:hAnsi="Arial" w:cs="Arial"/>
          <w:i/>
          <w:sz w:val="20"/>
          <w:szCs w:val="20"/>
          <w:lang w:val="es-ES_tradnl" w:eastAsia="en-US"/>
        </w:rPr>
        <w:t>“Se desarrollarán estrategias que contribuyan a mejorar el acceso, la vida estudiantil, la formación integral y el éxito académico para los estudiantes del ITCR, procurando la equidad de condiciones para las poblaciones vulnerables y de bajo nivel socioeconómico.”</w:t>
      </w:r>
    </w:p>
    <w:p w:rsidR="003B33B5" w:rsidRPr="003B33B5" w:rsidRDefault="003B33B5" w:rsidP="003B33B5">
      <w:pPr>
        <w:jc w:val="both"/>
        <w:rPr>
          <w:rFonts w:ascii="Arial" w:eastAsia="Cambria" w:hAnsi="Arial" w:cs="Arial"/>
          <w:lang w:val="es-CR" w:eastAsia="en-US"/>
        </w:rPr>
      </w:pPr>
      <w:bookmarkStart w:id="0" w:name="_GoBack"/>
      <w:bookmarkEnd w:id="0"/>
    </w:p>
    <w:p w:rsidR="003B33B5" w:rsidRPr="003B33B5" w:rsidRDefault="003B33B5" w:rsidP="003B33B5">
      <w:pPr>
        <w:numPr>
          <w:ilvl w:val="0"/>
          <w:numId w:val="22"/>
        </w:numPr>
        <w:ind w:left="426" w:hanging="426"/>
        <w:jc w:val="both"/>
        <w:rPr>
          <w:rFonts w:ascii="Arial" w:eastAsia="Cambria" w:hAnsi="Arial" w:cs="Arial"/>
          <w:lang w:val="es-ES_tradnl" w:eastAsia="en-US"/>
        </w:rPr>
      </w:pPr>
      <w:r w:rsidRPr="003B33B5">
        <w:rPr>
          <w:rFonts w:ascii="Arial" w:eastAsia="Cambria" w:hAnsi="Arial" w:cs="Arial"/>
          <w:lang w:val="es-ES_tradnl" w:eastAsia="en-US"/>
        </w:rPr>
        <w:t>El artículo 11 de la Constitución Pública de la República de Costa Rica establece lo siguiente:</w:t>
      </w:r>
    </w:p>
    <w:p w:rsidR="003B33B5" w:rsidRPr="003B33B5" w:rsidRDefault="003B33B5" w:rsidP="003B33B5">
      <w:pPr>
        <w:jc w:val="both"/>
        <w:rPr>
          <w:rFonts w:ascii="Arial" w:eastAsia="Cambria" w:hAnsi="Arial" w:cs="Arial"/>
          <w:lang w:val="es-ES_tradnl" w:eastAsia="en-US"/>
        </w:rPr>
      </w:pPr>
    </w:p>
    <w:p w:rsidR="003B33B5" w:rsidRPr="003B33B5" w:rsidRDefault="003B33B5" w:rsidP="003B33B5">
      <w:pPr>
        <w:ind w:left="851" w:right="474"/>
        <w:jc w:val="both"/>
        <w:rPr>
          <w:rFonts w:ascii="Arial" w:eastAsia="Cambria" w:hAnsi="Arial" w:cs="Arial"/>
          <w:i/>
          <w:sz w:val="20"/>
          <w:szCs w:val="20"/>
          <w:lang w:val="es-ES_tradnl" w:eastAsia="en-US"/>
        </w:rPr>
      </w:pPr>
      <w:r w:rsidRPr="003B33B5">
        <w:rPr>
          <w:rFonts w:ascii="Arial" w:eastAsia="Cambria" w:hAnsi="Arial" w:cs="Arial"/>
          <w:i/>
          <w:sz w:val="20"/>
          <w:szCs w:val="20"/>
          <w:lang w:val="es-ES_tradnl" w:eastAsia="en-US"/>
        </w:rPr>
        <w:t>“Artículo 11</w:t>
      </w:r>
    </w:p>
    <w:p w:rsidR="003B33B5" w:rsidRPr="003B33B5" w:rsidRDefault="003B33B5" w:rsidP="003B33B5">
      <w:pPr>
        <w:ind w:left="851" w:right="474"/>
        <w:jc w:val="both"/>
        <w:rPr>
          <w:rFonts w:ascii="Arial" w:eastAsia="Cambria" w:hAnsi="Arial" w:cs="Arial"/>
          <w:i/>
          <w:sz w:val="20"/>
          <w:szCs w:val="20"/>
          <w:lang w:val="es-ES_tradnl" w:eastAsia="en-US"/>
        </w:rPr>
      </w:pPr>
      <w:r w:rsidRPr="003B33B5">
        <w:rPr>
          <w:rFonts w:ascii="Arial" w:eastAsia="Cambria" w:hAnsi="Arial" w:cs="Arial"/>
          <w:i/>
          <w:sz w:val="20"/>
          <w:szCs w:val="20"/>
          <w:lang w:val="es-ES_tradnl" w:eastAsia="en-US"/>
        </w:rPr>
        <w:t>Los funcionarios públicos son simples depositarios de la autoridad. Están obligados a cumplir los deberes que la ley les impone y no pueden arrogarse facultades no concedidas en ella. Deben prestar juramento de observar y cumplir esta Constitución y las leyes. La acción para exigirles la responsabilidad penal por sus actos es pública.</w:t>
      </w:r>
    </w:p>
    <w:p w:rsidR="003B33B5" w:rsidRPr="003B33B5" w:rsidRDefault="003B33B5" w:rsidP="003B33B5">
      <w:pPr>
        <w:ind w:left="851" w:right="474"/>
        <w:jc w:val="both"/>
        <w:rPr>
          <w:rFonts w:ascii="Arial" w:eastAsia="Cambria" w:hAnsi="Arial" w:cs="Arial"/>
          <w:i/>
          <w:sz w:val="20"/>
          <w:szCs w:val="20"/>
          <w:lang w:val="es-ES_tradnl" w:eastAsia="en-US"/>
        </w:rPr>
      </w:pPr>
      <w:r w:rsidRPr="003B33B5">
        <w:rPr>
          <w:rFonts w:ascii="Arial" w:eastAsia="Cambria" w:hAnsi="Arial" w:cs="Arial"/>
          <w:i/>
          <w:sz w:val="20"/>
          <w:szCs w:val="20"/>
          <w:lang w:val="es-ES_tradnl" w:eastAsia="en-US"/>
        </w:rPr>
        <w:t>La Administración Pública en sentido amplio, está sometida a un procedimiento de evaluación de resultados y rendición de cuentas, con la consecuente responsabilidad personal para los funcionarios en el cumplimiento de sus deberes. La ley señalará los medios para que este control de resultados y rendición de cuentas opere como un sistema que cubra todas las instituciones públicas.”</w:t>
      </w:r>
    </w:p>
    <w:p w:rsidR="003B33B5" w:rsidRPr="003B33B5" w:rsidRDefault="003B33B5" w:rsidP="003B33B5">
      <w:pPr>
        <w:contextualSpacing/>
        <w:jc w:val="both"/>
        <w:outlineLvl w:val="0"/>
        <w:rPr>
          <w:rFonts w:ascii="Arial" w:hAnsi="Arial" w:cs="Arial"/>
          <w:b/>
          <w:lang w:val="es-CR"/>
        </w:rPr>
      </w:pPr>
      <w:bookmarkStart w:id="1" w:name="_Toc272225920"/>
      <w:bookmarkStart w:id="2" w:name="_Toc272238511"/>
      <w:bookmarkStart w:id="3" w:name="_Toc274319984"/>
    </w:p>
    <w:p w:rsidR="003B33B5" w:rsidRPr="003B33B5" w:rsidRDefault="003B33B5" w:rsidP="003B33B5">
      <w:pPr>
        <w:contextualSpacing/>
        <w:jc w:val="both"/>
        <w:outlineLvl w:val="0"/>
        <w:rPr>
          <w:rFonts w:ascii="Arial" w:hAnsi="Arial" w:cs="Arial"/>
          <w:b/>
          <w:lang w:val="es-CR"/>
        </w:rPr>
      </w:pPr>
      <w:r w:rsidRPr="003B33B5">
        <w:rPr>
          <w:rFonts w:ascii="Arial" w:hAnsi="Arial" w:cs="Arial"/>
          <w:b/>
          <w:lang w:val="es-CR"/>
        </w:rPr>
        <w:t>CONSIDERANDO QUE:</w:t>
      </w:r>
    </w:p>
    <w:p w:rsidR="003B33B5" w:rsidRPr="003B33B5" w:rsidRDefault="003B33B5" w:rsidP="003B33B5">
      <w:pPr>
        <w:jc w:val="both"/>
        <w:rPr>
          <w:rFonts w:ascii="Arial" w:hAnsi="Arial" w:cs="Arial"/>
          <w:lang w:val="es-CR"/>
        </w:rPr>
      </w:pPr>
    </w:p>
    <w:p w:rsidR="003B33B5" w:rsidRPr="003B33B5" w:rsidRDefault="003B33B5" w:rsidP="003B33B5">
      <w:pPr>
        <w:numPr>
          <w:ilvl w:val="0"/>
          <w:numId w:val="24"/>
        </w:numPr>
        <w:ind w:left="360"/>
        <w:jc w:val="both"/>
        <w:rPr>
          <w:rFonts w:ascii="Arial" w:eastAsia="Cambria" w:hAnsi="Arial" w:cs="Arial"/>
          <w:lang w:val="es-ES_tradnl" w:eastAsia="en-US"/>
        </w:rPr>
      </w:pPr>
      <w:r w:rsidRPr="003B33B5">
        <w:rPr>
          <w:rFonts w:ascii="Arial" w:eastAsia="Cambria" w:hAnsi="Arial" w:cs="Arial"/>
          <w:lang w:val="es-CR" w:eastAsia="en-US"/>
        </w:rPr>
        <w:t xml:space="preserve">Existe evidencia de la necesidad de que se tramiten matrículas con choque de horario en el Instituto, tal como se comprueba con la  inclusión en el Plan Anual Operativo 2019, de la meta “5.3.0.1 Desarrollar 112 actividades sustantivas en temas particulares de la VIESA”, en la que el Departamento de Admisión y Registro tiene como responsabilidad: </w:t>
      </w:r>
      <w:r w:rsidRPr="003B33B5">
        <w:rPr>
          <w:rFonts w:ascii="Arial" w:eastAsia="Calibri" w:hAnsi="Arial" w:cs="Arial"/>
          <w:i/>
          <w:color w:val="000000"/>
          <w:lang w:val="es-CR" w:eastAsia="en-US"/>
        </w:rPr>
        <w:t xml:space="preserve">“Dar seguimiento a los sistemas de planes de estudio; guía de horarios; actas de calificación; aplicar cupo sistema de matrícula; expediente estudiantil; graduación de estudiantiles; admisión de estudiantes; entidades institucionales del TEC; calendario de procesos DAR; seguridad de los sistemas; trámites estudiantiles; módulos utilitarios durante el proceso de matrícula (inclusión de materias, retiro de materia, levantamiento de: requisitos, Rn, </w:t>
      </w:r>
      <w:r w:rsidRPr="003B33B5">
        <w:rPr>
          <w:rFonts w:ascii="Arial" w:eastAsia="Calibri" w:hAnsi="Arial" w:cs="Arial"/>
          <w:b/>
          <w:i/>
          <w:color w:val="000000"/>
          <w:lang w:val="es-CR" w:eastAsia="en-US"/>
        </w:rPr>
        <w:t>choque de horario</w:t>
      </w:r>
      <w:r w:rsidRPr="003B33B5">
        <w:rPr>
          <w:rFonts w:ascii="Arial" w:eastAsia="Calibri" w:hAnsi="Arial" w:cs="Arial"/>
          <w:i/>
          <w:color w:val="000000"/>
          <w:lang w:val="es-CR" w:eastAsia="en-US"/>
        </w:rPr>
        <w:t xml:space="preserve">); sistemas utilitarios CONARE(SIGIE, ATLAS, </w:t>
      </w:r>
      <w:proofErr w:type="spellStart"/>
      <w:r w:rsidRPr="003B33B5">
        <w:rPr>
          <w:rFonts w:ascii="Arial" w:eastAsia="Calibri" w:hAnsi="Arial" w:cs="Arial"/>
          <w:i/>
          <w:color w:val="000000"/>
          <w:lang w:val="es-CR" w:eastAsia="en-US"/>
        </w:rPr>
        <w:t>SegCONARE</w:t>
      </w:r>
      <w:proofErr w:type="spellEnd"/>
      <w:r w:rsidRPr="003B33B5">
        <w:rPr>
          <w:rFonts w:ascii="Arial" w:eastAsia="Calibri" w:hAnsi="Arial" w:cs="Arial"/>
          <w:i/>
          <w:color w:val="000000"/>
          <w:lang w:val="es-CR" w:eastAsia="en-US"/>
        </w:rPr>
        <w:t>); integración con nuevas funcionalidades de los sistemas del DAR con el Sistema de Admisión Conjunta SAU; integración de sistemas del DAR en alianza y convenio con Instituciones gubernamentales TSE, MEP; integración con los sistemas institucionales”. (negrita no es del original)</w:t>
      </w:r>
    </w:p>
    <w:p w:rsidR="003B33B5" w:rsidRPr="003B33B5" w:rsidRDefault="003B33B5" w:rsidP="003B33B5">
      <w:pPr>
        <w:jc w:val="both"/>
        <w:rPr>
          <w:rFonts w:ascii="Arial" w:eastAsia="Cambria" w:hAnsi="Arial" w:cs="Arial"/>
          <w:lang w:val="es-CR" w:eastAsia="en-US"/>
        </w:rPr>
      </w:pPr>
    </w:p>
    <w:p w:rsidR="003B33B5" w:rsidRPr="003B33B5" w:rsidRDefault="003B33B5" w:rsidP="003B33B5">
      <w:pPr>
        <w:numPr>
          <w:ilvl w:val="0"/>
          <w:numId w:val="24"/>
        </w:numPr>
        <w:ind w:left="360"/>
        <w:jc w:val="both"/>
        <w:rPr>
          <w:rFonts w:ascii="Arial" w:eastAsia="Cambria" w:hAnsi="Arial" w:cs="Arial"/>
          <w:lang w:val="es-ES_tradnl" w:eastAsia="en-US"/>
        </w:rPr>
      </w:pPr>
      <w:r w:rsidRPr="003B33B5">
        <w:rPr>
          <w:rFonts w:ascii="Arial" w:eastAsia="Cambria" w:hAnsi="Arial" w:cs="Arial"/>
          <w:lang w:val="es-ES_tradnl" w:eastAsia="en-US"/>
        </w:rPr>
        <w:lastRenderedPageBreak/>
        <w:t>Existen casos de estudiantes realmente calificados, para los cuales la matrícula con choque de horario es la mejor solución, para poder avanzar en su plan de estudios, especialmente cuando les faltan pocas materias para concluir sus estudios.</w:t>
      </w:r>
    </w:p>
    <w:p w:rsidR="003B33B5" w:rsidRPr="003B33B5" w:rsidRDefault="003B33B5" w:rsidP="003B33B5">
      <w:pPr>
        <w:ind w:left="708"/>
        <w:rPr>
          <w:rFonts w:eastAsia="Calibri" w:cs="Arial"/>
          <w:lang w:val="es-CR"/>
        </w:rPr>
      </w:pPr>
    </w:p>
    <w:p w:rsidR="003B33B5" w:rsidRPr="003B33B5" w:rsidRDefault="003B33B5" w:rsidP="003B33B5">
      <w:pPr>
        <w:numPr>
          <w:ilvl w:val="0"/>
          <w:numId w:val="24"/>
        </w:numPr>
        <w:ind w:left="360"/>
        <w:jc w:val="both"/>
        <w:rPr>
          <w:rFonts w:ascii="Arial" w:eastAsia="Cambria" w:hAnsi="Arial" w:cs="Arial"/>
          <w:lang w:val="es-ES_tradnl" w:eastAsia="en-US"/>
        </w:rPr>
      </w:pPr>
      <w:r w:rsidRPr="003B33B5">
        <w:rPr>
          <w:rFonts w:ascii="Arial" w:eastAsia="Cambria" w:hAnsi="Arial" w:cs="Arial"/>
          <w:lang w:val="es-CR" w:eastAsia="en-US"/>
        </w:rPr>
        <w:t>De acuerdo con el artículo 11 de la Constitución Política de la República de Costa Rica, denominado Principio de legalidad, se requiere norma habilitante que habilite a los Directores de Escuela o Coordinadores de Carrera para autorizar la matrícula con choque de horario.</w:t>
      </w:r>
    </w:p>
    <w:p w:rsidR="003B33B5" w:rsidRPr="003B33B5" w:rsidRDefault="003B33B5" w:rsidP="003B33B5">
      <w:pPr>
        <w:jc w:val="both"/>
        <w:rPr>
          <w:rFonts w:ascii="Arial" w:eastAsia="Cambria" w:hAnsi="Arial" w:cs="Arial"/>
          <w:lang w:eastAsia="en-US"/>
        </w:rPr>
      </w:pPr>
    </w:p>
    <w:p w:rsidR="003B33B5" w:rsidRPr="003B33B5" w:rsidRDefault="003B33B5" w:rsidP="003B33B5">
      <w:pPr>
        <w:numPr>
          <w:ilvl w:val="0"/>
          <w:numId w:val="24"/>
        </w:numPr>
        <w:ind w:left="360"/>
        <w:jc w:val="both"/>
        <w:rPr>
          <w:rFonts w:ascii="Arial" w:eastAsia="Cambria" w:hAnsi="Arial" w:cs="Arial"/>
          <w:szCs w:val="22"/>
          <w:lang w:val="es-ES_tradnl" w:eastAsia="en-US"/>
        </w:rPr>
      </w:pPr>
      <w:r w:rsidRPr="003B33B5">
        <w:rPr>
          <w:rFonts w:ascii="Arial" w:eastAsia="Cambria" w:hAnsi="Arial" w:cs="Arial"/>
          <w:szCs w:val="22"/>
          <w:lang w:val="es-ES_tradnl" w:eastAsia="en-US"/>
        </w:rPr>
        <w:t xml:space="preserve">En la Sesión Ordinaria No. 3132, del 21 de agosto de 2019, el Dr. Luis Gerardo Meza Cascante, presenta al Consejo Institucional la propuesta </w:t>
      </w:r>
      <w:r w:rsidRPr="003B33B5">
        <w:rPr>
          <w:rFonts w:ascii="Arial" w:eastAsia="Cambria" w:hAnsi="Arial" w:cs="Arial"/>
          <w:color w:val="7030A0"/>
          <w:szCs w:val="22"/>
          <w:lang w:val="es-ES_tradnl" w:eastAsia="en-US"/>
        </w:rPr>
        <w:t xml:space="preserve">de </w:t>
      </w:r>
      <w:r w:rsidRPr="003B33B5">
        <w:rPr>
          <w:rFonts w:ascii="Arial" w:eastAsia="Cambria" w:hAnsi="Arial" w:cs="Arial"/>
          <w:szCs w:val="22"/>
          <w:lang w:val="es-ES_tradnl" w:eastAsia="en-US"/>
        </w:rPr>
        <w:t xml:space="preserve">“Reforma del Reglamento del Régimen de Enseñanza-Aprendizaje del Instituto Tecnológico de Costa Rica”, consistente en la introducción de un artículo 34 BIS, que permita a los Directores de Escuela o Coordinadores de Carrera autorizar matrícula con choque de horario en casos justificados, y se dispone trasladarla a la Comisión de Asuntos Académicos y Estudiantiles.  </w:t>
      </w:r>
    </w:p>
    <w:p w:rsidR="003B33B5" w:rsidRPr="003B33B5" w:rsidRDefault="003B33B5" w:rsidP="003B33B5">
      <w:pPr>
        <w:ind w:left="708"/>
        <w:rPr>
          <w:rFonts w:eastAsia="Calibri" w:cs="Arial"/>
          <w:szCs w:val="22"/>
          <w:lang w:val="es-CR"/>
        </w:rPr>
      </w:pPr>
    </w:p>
    <w:p w:rsidR="003B33B5" w:rsidRPr="003B33B5" w:rsidRDefault="003B33B5" w:rsidP="003B33B5">
      <w:pPr>
        <w:numPr>
          <w:ilvl w:val="0"/>
          <w:numId w:val="24"/>
        </w:numPr>
        <w:ind w:left="360"/>
        <w:jc w:val="both"/>
        <w:rPr>
          <w:rFonts w:ascii="Arial" w:eastAsia="Cambria" w:hAnsi="Arial" w:cs="Arial"/>
          <w:szCs w:val="22"/>
          <w:lang w:val="es-ES_tradnl" w:eastAsia="en-US"/>
        </w:rPr>
      </w:pPr>
      <w:r w:rsidRPr="003B33B5">
        <w:rPr>
          <w:rFonts w:ascii="Arial" w:eastAsia="Cambria" w:hAnsi="Arial" w:cs="Arial"/>
          <w:szCs w:val="22"/>
          <w:lang w:val="es-ES_tradnl" w:eastAsia="en-US"/>
        </w:rPr>
        <w:t>La Comisión de Asuntos Académicos y Estudiantiles, en la reunión No. 637 celebrada el 23 de agosto de 2019, analiza la propuesta presentada por el Dr. Meza Cascante, y valora que es conveniente someter la propuesta a consulta de la Comunidad Institucional, en general y del Consejo de Docencia, en particular, por espacio de 15 días hábiles.</w:t>
      </w:r>
    </w:p>
    <w:p w:rsidR="003B33B5" w:rsidRPr="003B33B5" w:rsidRDefault="003B33B5" w:rsidP="003B33B5">
      <w:pPr>
        <w:jc w:val="both"/>
        <w:rPr>
          <w:rFonts w:ascii="Arial" w:eastAsia="Cambria" w:hAnsi="Arial" w:cs="Arial"/>
          <w:lang w:val="es-CR" w:eastAsia="en-US"/>
        </w:rPr>
      </w:pPr>
    </w:p>
    <w:bookmarkEnd w:id="1"/>
    <w:bookmarkEnd w:id="2"/>
    <w:bookmarkEnd w:id="3"/>
    <w:p w:rsidR="003B33B5" w:rsidRPr="003B33B5" w:rsidRDefault="003B33B5" w:rsidP="003B33B5">
      <w:pPr>
        <w:jc w:val="both"/>
        <w:rPr>
          <w:rFonts w:ascii="Arial" w:hAnsi="Arial" w:cs="Arial"/>
          <w:b/>
          <w:lang w:val="es-CR"/>
        </w:rPr>
      </w:pPr>
      <w:r w:rsidRPr="003B33B5">
        <w:rPr>
          <w:rFonts w:ascii="Arial" w:hAnsi="Arial" w:cs="Arial"/>
          <w:b/>
          <w:lang w:val="es-CR"/>
        </w:rPr>
        <w:t>SE</w:t>
      </w:r>
      <w:r>
        <w:rPr>
          <w:rFonts w:ascii="Arial" w:hAnsi="Arial" w:cs="Arial"/>
          <w:b/>
          <w:lang w:val="es-CR"/>
        </w:rPr>
        <w:t xml:space="preserve"> ACUERDA</w:t>
      </w:r>
      <w:r w:rsidRPr="003B33B5">
        <w:rPr>
          <w:rFonts w:ascii="Arial" w:hAnsi="Arial" w:cs="Arial"/>
          <w:b/>
          <w:lang w:val="es-CR"/>
        </w:rPr>
        <w:t>:</w:t>
      </w:r>
    </w:p>
    <w:p w:rsidR="003B33B5" w:rsidRPr="003B33B5" w:rsidRDefault="003B33B5" w:rsidP="003B33B5">
      <w:pPr>
        <w:ind w:left="426"/>
        <w:jc w:val="both"/>
        <w:rPr>
          <w:rFonts w:ascii="Arial" w:eastAsia="Cambria" w:hAnsi="Arial" w:cs="Arial"/>
          <w:lang w:val="es-CR" w:eastAsia="en-US"/>
        </w:rPr>
      </w:pPr>
    </w:p>
    <w:p w:rsidR="003B33B5" w:rsidRPr="003B33B5" w:rsidRDefault="003B33B5" w:rsidP="003B33B5">
      <w:pPr>
        <w:numPr>
          <w:ilvl w:val="0"/>
          <w:numId w:val="23"/>
        </w:numPr>
        <w:ind w:left="426" w:hanging="426"/>
        <w:contextualSpacing/>
        <w:jc w:val="both"/>
        <w:rPr>
          <w:rFonts w:ascii="Arial" w:hAnsi="Arial" w:cs="Arial"/>
          <w:b/>
          <w:i/>
          <w:lang w:val="es-CR" w:eastAsia="en-US"/>
        </w:rPr>
      </w:pPr>
      <w:r w:rsidRPr="003B33B5">
        <w:rPr>
          <w:rFonts w:ascii="Arial" w:eastAsia="Cambria" w:hAnsi="Arial" w:cs="Arial"/>
          <w:lang w:val="es-ES_tradnl" w:eastAsia="en-US"/>
        </w:rPr>
        <w:t>Someter a consulta de la Comunidad Institucional, en general, por espacio de 15 días hábiles y del Consejo de Docencia, en particular, por un plazo de 30 días hábiles, la propuesta de “Reforma del Reglamento del Régimen de Enseñanza-Aprendizaje del Instituto Tecnológico de Costa Rica”, consistente en la introducción de un artículo 34 BIS, que permita a los Directores de Escuela o Coordinadores de Carrera autorizar matrícula con choque de horario en casos justificados</w:t>
      </w:r>
      <w:r w:rsidRPr="003B33B5">
        <w:rPr>
          <w:rFonts w:ascii="Arial" w:hAnsi="Arial" w:cs="Arial"/>
          <w:b/>
          <w:i/>
          <w:lang w:val="es-CR" w:eastAsia="en-US"/>
        </w:rPr>
        <w:t>,</w:t>
      </w:r>
      <w:r w:rsidRPr="003B33B5">
        <w:rPr>
          <w:rFonts w:ascii="Arial" w:eastAsia="Cambria" w:hAnsi="Arial" w:cs="Arial"/>
          <w:lang w:val="es-ES_tradnl" w:eastAsia="en-US"/>
        </w:rPr>
        <w:t xml:space="preserve"> según se detalla:</w:t>
      </w:r>
    </w:p>
    <w:p w:rsidR="003B33B5" w:rsidRPr="003B33B5" w:rsidRDefault="003B33B5" w:rsidP="003B33B5">
      <w:pPr>
        <w:contextualSpacing/>
        <w:jc w:val="both"/>
        <w:rPr>
          <w:rFonts w:ascii="Arial" w:hAnsi="Arial" w:cs="Arial"/>
          <w:b/>
          <w:i/>
          <w:lang w:val="es-CR" w:eastAsia="en-US"/>
        </w:rPr>
      </w:pPr>
    </w:p>
    <w:p w:rsidR="003B33B5" w:rsidRPr="003B33B5" w:rsidRDefault="003B33B5" w:rsidP="003B33B5">
      <w:pPr>
        <w:ind w:left="426" w:right="474"/>
        <w:jc w:val="both"/>
        <w:rPr>
          <w:rFonts w:ascii="Arial" w:hAnsi="Arial" w:cs="Arial"/>
          <w:b/>
          <w:sz w:val="22"/>
          <w:szCs w:val="22"/>
          <w:lang w:val="es-ES_tradnl" w:eastAsia="es-CR"/>
        </w:rPr>
      </w:pPr>
      <w:r w:rsidRPr="003B33B5">
        <w:rPr>
          <w:rFonts w:ascii="Arial" w:hAnsi="Arial" w:cs="Arial"/>
          <w:b/>
          <w:sz w:val="22"/>
          <w:szCs w:val="22"/>
          <w:lang w:val="es-ES_tradnl" w:eastAsia="es-CR"/>
        </w:rPr>
        <w:t>ARTICULO 34 BIS</w:t>
      </w:r>
    </w:p>
    <w:p w:rsidR="003B33B5" w:rsidRPr="003B33B5" w:rsidRDefault="003B33B5" w:rsidP="003B33B5">
      <w:pPr>
        <w:ind w:left="851" w:right="474"/>
        <w:jc w:val="both"/>
        <w:rPr>
          <w:rFonts w:ascii="Arial" w:hAnsi="Arial" w:cs="Arial"/>
          <w:sz w:val="22"/>
          <w:szCs w:val="22"/>
          <w:lang w:val="es-ES_tradnl" w:eastAsia="es-CR"/>
        </w:rPr>
      </w:pPr>
    </w:p>
    <w:p w:rsidR="003B33B5" w:rsidRPr="003B33B5" w:rsidRDefault="003B33B5" w:rsidP="003B33B5">
      <w:pPr>
        <w:ind w:left="426" w:right="474"/>
        <w:jc w:val="both"/>
        <w:rPr>
          <w:rFonts w:ascii="Arial" w:hAnsi="Arial" w:cs="Arial"/>
          <w:sz w:val="22"/>
          <w:szCs w:val="22"/>
          <w:lang w:val="es-ES_tradnl" w:eastAsia="es-CR"/>
        </w:rPr>
      </w:pPr>
      <w:r w:rsidRPr="003B33B5">
        <w:rPr>
          <w:rFonts w:ascii="Arial" w:hAnsi="Arial" w:cs="Arial"/>
          <w:sz w:val="22"/>
          <w:szCs w:val="22"/>
          <w:lang w:val="es-ES_tradnl" w:eastAsia="es-CR"/>
        </w:rPr>
        <w:t xml:space="preserve">El estudiante realizará el proceso de su matrícula ajustándose a las limitaciones que imponen los requisitos y </w:t>
      </w:r>
      <w:proofErr w:type="spellStart"/>
      <w:r w:rsidRPr="003B33B5">
        <w:rPr>
          <w:rFonts w:ascii="Arial" w:hAnsi="Arial" w:cs="Arial"/>
          <w:sz w:val="22"/>
          <w:szCs w:val="22"/>
          <w:lang w:val="es-ES_tradnl" w:eastAsia="es-CR"/>
        </w:rPr>
        <w:t>correquisitos</w:t>
      </w:r>
      <w:proofErr w:type="spellEnd"/>
      <w:r w:rsidRPr="003B33B5">
        <w:rPr>
          <w:rFonts w:ascii="Arial" w:hAnsi="Arial" w:cs="Arial"/>
          <w:sz w:val="22"/>
          <w:szCs w:val="22"/>
          <w:lang w:val="es-ES_tradnl" w:eastAsia="es-CR"/>
        </w:rPr>
        <w:t>, y el horario de las asignaturas y las posibilidades del Instituto.</w:t>
      </w:r>
    </w:p>
    <w:p w:rsidR="003B33B5" w:rsidRPr="003B33B5" w:rsidRDefault="003B33B5" w:rsidP="003B33B5">
      <w:pPr>
        <w:ind w:left="851" w:right="474"/>
        <w:jc w:val="both"/>
        <w:rPr>
          <w:rFonts w:ascii="Arial" w:hAnsi="Arial" w:cs="Arial"/>
          <w:sz w:val="22"/>
          <w:szCs w:val="22"/>
          <w:lang w:val="es-ES_tradnl" w:eastAsia="es-CR"/>
        </w:rPr>
      </w:pPr>
    </w:p>
    <w:p w:rsidR="003B33B5" w:rsidRPr="003B33B5" w:rsidRDefault="003B33B5" w:rsidP="003B33B5">
      <w:pPr>
        <w:ind w:left="426" w:right="474"/>
        <w:jc w:val="both"/>
        <w:rPr>
          <w:rFonts w:ascii="Arial" w:hAnsi="Arial" w:cs="Arial"/>
          <w:sz w:val="22"/>
          <w:szCs w:val="22"/>
          <w:lang w:val="es-ES_tradnl" w:eastAsia="es-CR"/>
        </w:rPr>
      </w:pPr>
      <w:r w:rsidRPr="003B33B5">
        <w:rPr>
          <w:rFonts w:ascii="Arial" w:hAnsi="Arial" w:cs="Arial"/>
          <w:sz w:val="22"/>
          <w:szCs w:val="22"/>
          <w:lang w:val="es-ES_tradnl" w:eastAsia="es-CR"/>
        </w:rPr>
        <w:t>Solo en casos calificados por el Director de la Escuela a que pertenece el o la estudiante, o el Coordinador de la Carrera correspondiente, el Departamento de Admisión y Registro tramitará matrículas con choque de horario.</w:t>
      </w:r>
    </w:p>
    <w:p w:rsidR="003B33B5" w:rsidRPr="003B33B5" w:rsidRDefault="003B33B5" w:rsidP="003B33B5">
      <w:pPr>
        <w:ind w:right="-91"/>
        <w:jc w:val="both"/>
        <w:rPr>
          <w:rFonts w:ascii="Arial" w:hAnsi="Arial" w:cs="Arial"/>
          <w:lang w:val="es-CR"/>
        </w:rPr>
      </w:pPr>
    </w:p>
    <w:p w:rsidR="005166A5" w:rsidRPr="00BF6609" w:rsidRDefault="00BB6A5E" w:rsidP="003B33B5">
      <w:pPr>
        <w:numPr>
          <w:ilvl w:val="0"/>
          <w:numId w:val="23"/>
        </w:numPr>
        <w:ind w:left="426" w:hanging="426"/>
        <w:contextualSpacing/>
        <w:jc w:val="both"/>
        <w:rPr>
          <w:rFonts w:ascii="Arial" w:hAnsi="Arial" w:cs="Arial"/>
          <w:b/>
          <w:lang w:val="es-CR"/>
        </w:rPr>
      </w:pPr>
      <w:r w:rsidRPr="00BF6609">
        <w:rPr>
          <w:rFonts w:ascii="Arial" w:eastAsia="Cambria" w:hAnsi="Arial" w:cs="Arial"/>
          <w:lang w:eastAsia="en-US"/>
        </w:rPr>
        <w:t>Comunicar</w:t>
      </w:r>
      <w:r w:rsidRPr="00BF6609">
        <w:rPr>
          <w:rFonts w:ascii="Arial" w:hAnsi="Arial" w:cs="Arial"/>
          <w:lang w:val="es-CR"/>
        </w:rPr>
        <w:t xml:space="preserve">. </w:t>
      </w:r>
      <w:r w:rsidRPr="00BF6609">
        <w:rPr>
          <w:rFonts w:ascii="Arial" w:hAnsi="Arial" w:cs="Arial"/>
          <w:b/>
          <w:lang w:val="es-CR"/>
        </w:rPr>
        <w:t xml:space="preserve"> </w:t>
      </w:r>
      <w:r w:rsidR="00E53665" w:rsidRPr="00BF6609">
        <w:rPr>
          <w:rFonts w:ascii="Arial" w:hAnsi="Arial" w:cs="Arial"/>
          <w:b/>
          <w:lang w:val="es-CR"/>
        </w:rPr>
        <w:t>ACUERDO FIRME.</w:t>
      </w:r>
    </w:p>
    <w:p w:rsidR="003B33B5" w:rsidRDefault="003B33B5" w:rsidP="00BF6609">
      <w:pPr>
        <w:contextualSpacing/>
        <w:jc w:val="both"/>
        <w:rPr>
          <w:rFonts w:ascii="Arial" w:hAnsi="Arial" w:cs="Arial"/>
          <w:b/>
          <w:sz w:val="22"/>
          <w:szCs w:val="22"/>
          <w:lang w:val="es-CR"/>
        </w:rPr>
      </w:pPr>
    </w:p>
    <w:p w:rsidR="003B33B5" w:rsidRPr="003B33B5" w:rsidRDefault="003B33B5" w:rsidP="003B33B5">
      <w:pPr>
        <w:jc w:val="both"/>
        <w:rPr>
          <w:rFonts w:ascii="Arial" w:eastAsia="Cambria" w:hAnsi="Arial" w:cs="Arial"/>
          <w:b/>
          <w:sz w:val="18"/>
          <w:szCs w:val="18"/>
          <w:lang w:val="es-ES_tradnl" w:eastAsia="en-US"/>
        </w:rPr>
      </w:pPr>
      <w:r w:rsidRPr="003B33B5">
        <w:rPr>
          <w:rFonts w:ascii="Arial" w:eastAsia="Cambria" w:hAnsi="Arial"/>
          <w:b/>
          <w:sz w:val="18"/>
          <w:szCs w:val="18"/>
          <w:lang w:val="es-ES_tradnl" w:eastAsia="en-US"/>
        </w:rPr>
        <w:t>Palabras Clave: Reforma - Reglamento – Enseñanza- Aprendizaje - artículo 34</w:t>
      </w:r>
      <w:r w:rsidR="00B820A8" w:rsidRPr="00B820A8">
        <w:rPr>
          <w:rFonts w:ascii="Arial" w:eastAsia="Cambria" w:hAnsi="Arial"/>
          <w:b/>
          <w:sz w:val="18"/>
          <w:szCs w:val="18"/>
          <w:lang w:val="es-ES_tradnl" w:eastAsia="en-US"/>
        </w:rPr>
        <w:t xml:space="preserve"> </w:t>
      </w:r>
      <w:r w:rsidR="00B820A8" w:rsidRPr="003B33B5">
        <w:rPr>
          <w:rFonts w:ascii="Arial" w:eastAsia="Cambria" w:hAnsi="Arial"/>
          <w:b/>
          <w:sz w:val="18"/>
          <w:szCs w:val="18"/>
          <w:lang w:val="es-ES_tradnl" w:eastAsia="en-US"/>
        </w:rPr>
        <w:t>BIS – matrícula – choque de horario</w:t>
      </w:r>
    </w:p>
    <w:p w:rsidR="002E7062" w:rsidRDefault="002E7062" w:rsidP="009E28A0">
      <w:pPr>
        <w:autoSpaceDE w:val="0"/>
        <w:autoSpaceDN w:val="0"/>
        <w:adjustRightInd w:val="0"/>
        <w:ind w:right="-91"/>
        <w:jc w:val="both"/>
        <w:rPr>
          <w:rFonts w:ascii="Arial" w:hAnsi="Arial" w:cs="Arial"/>
          <w:b/>
          <w:sz w:val="22"/>
          <w:szCs w:val="22"/>
          <w:lang w:val="es-CR"/>
        </w:rPr>
      </w:pPr>
    </w:p>
    <w:p w:rsidR="00BF6609" w:rsidRPr="003B33B5" w:rsidRDefault="00EB0F82" w:rsidP="003B33B5">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F6609" w:rsidRDefault="00BF6609" w:rsidP="00F41044">
      <w:pPr>
        <w:jc w:val="both"/>
        <w:rPr>
          <w:rFonts w:ascii="Arial" w:eastAsia="Cambria" w:hAnsi="Arial" w:cs="Arial"/>
          <w:sz w:val="22"/>
          <w:szCs w:val="22"/>
          <w:lang w:val="es-CR" w:eastAsia="en-US"/>
        </w:rPr>
      </w:pPr>
    </w:p>
    <w:p w:rsidR="002C0D34" w:rsidRPr="00B820A8" w:rsidRDefault="00F41044" w:rsidP="00F41044">
      <w:pPr>
        <w:jc w:val="both"/>
        <w:rPr>
          <w:rFonts w:ascii="Arial" w:eastAsia="Cambria" w:hAnsi="Arial" w:cs="Arial"/>
          <w:b/>
          <w:sz w:val="16"/>
          <w:szCs w:val="16"/>
          <w:lang w:val="es-CR" w:eastAsia="en-US"/>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sectPr w:rsidR="002C0D34" w:rsidRPr="00B820A8"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F13" w:rsidRDefault="00125F13">
      <w:r>
        <w:separator/>
      </w:r>
    </w:p>
  </w:endnote>
  <w:endnote w:type="continuationSeparator" w:id="0">
    <w:p w:rsidR="00125F13" w:rsidRDefault="0012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F13" w:rsidRDefault="00125F13">
      <w:r>
        <w:separator/>
      </w:r>
    </w:p>
  </w:footnote>
  <w:footnote w:type="continuationSeparator" w:id="0">
    <w:p w:rsidR="00125F13" w:rsidRDefault="00125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5463AC">
      <w:rPr>
        <w:rFonts w:ascii="Arial" w:eastAsia="Cambria" w:hAnsi="Arial" w:cs="Arial"/>
        <w:i/>
        <w:sz w:val="18"/>
        <w:szCs w:val="18"/>
        <w:lang w:val="es-ES_tradnl" w:eastAsia="x-none"/>
      </w:rPr>
      <w:t>3</w:t>
    </w:r>
    <w:r w:rsidR="001969BE">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AA4B61">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del </w:t>
    </w:r>
    <w:r w:rsidR="000F517D">
      <w:rPr>
        <w:rFonts w:ascii="Arial" w:eastAsia="Cambria" w:hAnsi="Arial" w:cs="Arial"/>
        <w:i/>
        <w:sz w:val="18"/>
        <w:szCs w:val="18"/>
        <w:lang w:val="es-ES_tradnl" w:eastAsia="x-none"/>
      </w:rPr>
      <w:t>2</w:t>
    </w:r>
    <w:r w:rsidR="001969BE">
      <w:rPr>
        <w:rFonts w:ascii="Arial" w:eastAsia="Cambria" w:hAnsi="Arial" w:cs="Arial"/>
        <w:i/>
        <w:sz w:val="18"/>
        <w:szCs w:val="18"/>
        <w:lang w:val="es-ES_tradnl" w:eastAsia="x-none"/>
      </w:rPr>
      <w:t>8</w:t>
    </w:r>
    <w:r>
      <w:rPr>
        <w:rFonts w:ascii="Arial" w:eastAsia="Cambria" w:hAnsi="Arial" w:cs="Arial"/>
        <w:i/>
        <w:sz w:val="18"/>
        <w:szCs w:val="18"/>
        <w:lang w:val="es-ES_tradnl" w:eastAsia="x-none"/>
      </w:rPr>
      <w:t xml:space="preserve"> de </w:t>
    </w:r>
    <w:r w:rsidR="005463AC">
      <w:rPr>
        <w:rFonts w:ascii="Arial" w:eastAsia="Cambria" w:hAnsi="Arial" w:cs="Arial"/>
        <w:i/>
        <w:sz w:val="18"/>
        <w:szCs w:val="18"/>
        <w:lang w:val="es-ES_tradnl" w:eastAsia="x-none"/>
      </w:rPr>
      <w:t>agosto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820A8">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 w15:restartNumberingAfterBreak="0">
    <w:nsid w:val="14FD5102"/>
    <w:multiLevelType w:val="hybridMultilevel"/>
    <w:tmpl w:val="0472F944"/>
    <w:lvl w:ilvl="0" w:tplc="3ED000D8">
      <w:start w:val="1"/>
      <w:numFmt w:val="decimal"/>
      <w:lvlText w:val="%1."/>
      <w:lvlJc w:val="left"/>
      <w:pPr>
        <w:ind w:left="360" w:hanging="360"/>
      </w:pPr>
      <w:rPr>
        <w:rFonts w:ascii="Arial" w:hAnsi="Arial" w:cs="Arial"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92B3831"/>
    <w:multiLevelType w:val="hybridMultilevel"/>
    <w:tmpl w:val="AD0E75C8"/>
    <w:lvl w:ilvl="0" w:tplc="D3CA9C98">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26553FA2"/>
    <w:multiLevelType w:val="multilevel"/>
    <w:tmpl w:val="2E92E1C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2897138"/>
    <w:multiLevelType w:val="hybridMultilevel"/>
    <w:tmpl w:val="8548C23E"/>
    <w:lvl w:ilvl="0" w:tplc="140A0001">
      <w:start w:val="1"/>
      <w:numFmt w:val="bullet"/>
      <w:lvlText w:val=""/>
      <w:lvlJc w:val="left"/>
      <w:pPr>
        <w:ind w:left="1427" w:hanging="360"/>
      </w:pPr>
      <w:rPr>
        <w:rFonts w:ascii="Symbol" w:hAnsi="Symbol" w:hint="default"/>
      </w:rPr>
    </w:lvl>
    <w:lvl w:ilvl="1" w:tplc="140A0003" w:tentative="1">
      <w:start w:val="1"/>
      <w:numFmt w:val="bullet"/>
      <w:lvlText w:val="o"/>
      <w:lvlJc w:val="left"/>
      <w:pPr>
        <w:ind w:left="2147" w:hanging="360"/>
      </w:pPr>
      <w:rPr>
        <w:rFonts w:ascii="Courier New" w:hAnsi="Courier New" w:cs="Courier New" w:hint="default"/>
      </w:rPr>
    </w:lvl>
    <w:lvl w:ilvl="2" w:tplc="140A0005" w:tentative="1">
      <w:start w:val="1"/>
      <w:numFmt w:val="bullet"/>
      <w:lvlText w:val=""/>
      <w:lvlJc w:val="left"/>
      <w:pPr>
        <w:ind w:left="2867" w:hanging="360"/>
      </w:pPr>
      <w:rPr>
        <w:rFonts w:ascii="Wingdings" w:hAnsi="Wingdings" w:hint="default"/>
      </w:rPr>
    </w:lvl>
    <w:lvl w:ilvl="3" w:tplc="140A0001" w:tentative="1">
      <w:start w:val="1"/>
      <w:numFmt w:val="bullet"/>
      <w:lvlText w:val=""/>
      <w:lvlJc w:val="left"/>
      <w:pPr>
        <w:ind w:left="3587" w:hanging="360"/>
      </w:pPr>
      <w:rPr>
        <w:rFonts w:ascii="Symbol" w:hAnsi="Symbol" w:hint="default"/>
      </w:rPr>
    </w:lvl>
    <w:lvl w:ilvl="4" w:tplc="140A0003" w:tentative="1">
      <w:start w:val="1"/>
      <w:numFmt w:val="bullet"/>
      <w:lvlText w:val="o"/>
      <w:lvlJc w:val="left"/>
      <w:pPr>
        <w:ind w:left="4307" w:hanging="360"/>
      </w:pPr>
      <w:rPr>
        <w:rFonts w:ascii="Courier New" w:hAnsi="Courier New" w:cs="Courier New" w:hint="default"/>
      </w:rPr>
    </w:lvl>
    <w:lvl w:ilvl="5" w:tplc="140A0005" w:tentative="1">
      <w:start w:val="1"/>
      <w:numFmt w:val="bullet"/>
      <w:lvlText w:val=""/>
      <w:lvlJc w:val="left"/>
      <w:pPr>
        <w:ind w:left="5027" w:hanging="360"/>
      </w:pPr>
      <w:rPr>
        <w:rFonts w:ascii="Wingdings" w:hAnsi="Wingdings" w:hint="default"/>
      </w:rPr>
    </w:lvl>
    <w:lvl w:ilvl="6" w:tplc="140A0001" w:tentative="1">
      <w:start w:val="1"/>
      <w:numFmt w:val="bullet"/>
      <w:lvlText w:val=""/>
      <w:lvlJc w:val="left"/>
      <w:pPr>
        <w:ind w:left="5747" w:hanging="360"/>
      </w:pPr>
      <w:rPr>
        <w:rFonts w:ascii="Symbol" w:hAnsi="Symbol" w:hint="default"/>
      </w:rPr>
    </w:lvl>
    <w:lvl w:ilvl="7" w:tplc="140A0003" w:tentative="1">
      <w:start w:val="1"/>
      <w:numFmt w:val="bullet"/>
      <w:lvlText w:val="o"/>
      <w:lvlJc w:val="left"/>
      <w:pPr>
        <w:ind w:left="6467" w:hanging="360"/>
      </w:pPr>
      <w:rPr>
        <w:rFonts w:ascii="Courier New" w:hAnsi="Courier New" w:cs="Courier New" w:hint="default"/>
      </w:rPr>
    </w:lvl>
    <w:lvl w:ilvl="8" w:tplc="140A0005" w:tentative="1">
      <w:start w:val="1"/>
      <w:numFmt w:val="bullet"/>
      <w:lvlText w:val=""/>
      <w:lvlJc w:val="left"/>
      <w:pPr>
        <w:ind w:left="7187" w:hanging="360"/>
      </w:pPr>
      <w:rPr>
        <w:rFonts w:ascii="Wingdings" w:hAnsi="Wingdings" w:hint="default"/>
      </w:rPr>
    </w:lvl>
  </w:abstractNum>
  <w:abstractNum w:abstractNumId="8"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852E90"/>
    <w:multiLevelType w:val="hybridMultilevel"/>
    <w:tmpl w:val="49384CA2"/>
    <w:lvl w:ilvl="0" w:tplc="60B21C56">
      <w:start w:val="1"/>
      <w:numFmt w:val="lowerLetter"/>
      <w:lvlText w:val="%1."/>
      <w:lvlJc w:val="left"/>
      <w:pPr>
        <w:ind w:left="360" w:hanging="360"/>
      </w:pPr>
      <w:rPr>
        <w:b/>
        <w:strike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5470699"/>
    <w:multiLevelType w:val="hybridMultilevel"/>
    <w:tmpl w:val="CA7C81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78B6092"/>
    <w:multiLevelType w:val="hybridMultilevel"/>
    <w:tmpl w:val="144298DC"/>
    <w:lvl w:ilvl="0" w:tplc="DBD06970">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48CA3797"/>
    <w:multiLevelType w:val="hybridMultilevel"/>
    <w:tmpl w:val="542A33EC"/>
    <w:lvl w:ilvl="0" w:tplc="652CDFA0">
      <w:start w:val="1"/>
      <w:numFmt w:val="lowerLetter"/>
      <w:lvlText w:val="%1."/>
      <w:lvlJc w:val="left"/>
      <w:pPr>
        <w:ind w:left="720" w:hanging="360"/>
      </w:pPr>
      <w:rPr>
        <w:rFonts w:cs="TTE1865388t00"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595D1821"/>
    <w:multiLevelType w:val="hybridMultilevel"/>
    <w:tmpl w:val="D5B4F86E"/>
    <w:lvl w:ilvl="0" w:tplc="448E4BDC">
      <w:start w:val="1"/>
      <w:numFmt w:val="lowerLetter"/>
      <w:lvlText w:val="%1."/>
      <w:lvlJc w:val="left"/>
      <w:pPr>
        <w:ind w:left="720" w:hanging="360"/>
      </w:pPr>
      <w:rPr>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F9816A7"/>
    <w:multiLevelType w:val="hybridMultilevel"/>
    <w:tmpl w:val="B1F0F404"/>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65E31167"/>
    <w:multiLevelType w:val="hybridMultilevel"/>
    <w:tmpl w:val="97226E48"/>
    <w:lvl w:ilvl="0" w:tplc="3F18E7F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4DA320A"/>
    <w:multiLevelType w:val="hybridMultilevel"/>
    <w:tmpl w:val="C3F41444"/>
    <w:lvl w:ilvl="0" w:tplc="DC727E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91A38DB"/>
    <w:multiLevelType w:val="hybridMultilevel"/>
    <w:tmpl w:val="AF062066"/>
    <w:lvl w:ilvl="0" w:tplc="5F7EEF96">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7"/>
  </w:num>
  <w:num w:numId="4">
    <w:abstractNumId w:val="10"/>
  </w:num>
  <w:num w:numId="5">
    <w:abstractNumId w:val="18"/>
  </w:num>
  <w:num w:numId="6">
    <w:abstractNumId w:val="14"/>
  </w:num>
  <w:num w:numId="7">
    <w:abstractNumId w:val="23"/>
  </w:num>
  <w:num w:numId="8">
    <w:abstractNumId w:val="9"/>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8"/>
  </w:num>
  <w:num w:numId="15">
    <w:abstractNumId w:val="6"/>
  </w:num>
  <w:num w:numId="16">
    <w:abstractNumId w:val="13"/>
  </w:num>
  <w:num w:numId="17">
    <w:abstractNumId w:val="19"/>
  </w:num>
  <w:num w:numId="18">
    <w:abstractNumId w:val="22"/>
  </w:num>
  <w:num w:numId="19">
    <w:abstractNumId w:val="3"/>
  </w:num>
  <w:num w:numId="20">
    <w:abstractNumId w:val="21"/>
  </w:num>
  <w:num w:numId="21">
    <w:abstractNumId w:val="5"/>
  </w:num>
  <w:num w:numId="22">
    <w:abstractNumId w:val="2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37459"/>
    <w:rsid w:val="000401D6"/>
    <w:rsid w:val="000414FE"/>
    <w:rsid w:val="000428F8"/>
    <w:rsid w:val="000437DE"/>
    <w:rsid w:val="00043B22"/>
    <w:rsid w:val="00044242"/>
    <w:rsid w:val="00047F2B"/>
    <w:rsid w:val="00050123"/>
    <w:rsid w:val="00052427"/>
    <w:rsid w:val="00052F80"/>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3FB3"/>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D793B"/>
    <w:rsid w:val="000E1F4D"/>
    <w:rsid w:val="000E39E4"/>
    <w:rsid w:val="000E420E"/>
    <w:rsid w:val="000E4C68"/>
    <w:rsid w:val="000E4FED"/>
    <w:rsid w:val="000E5B14"/>
    <w:rsid w:val="000E6DC9"/>
    <w:rsid w:val="000F106C"/>
    <w:rsid w:val="000F1E1D"/>
    <w:rsid w:val="000F21F4"/>
    <w:rsid w:val="000F2A0F"/>
    <w:rsid w:val="000F4527"/>
    <w:rsid w:val="000F473C"/>
    <w:rsid w:val="000F490D"/>
    <w:rsid w:val="000F4B43"/>
    <w:rsid w:val="000F50B9"/>
    <w:rsid w:val="000F517D"/>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5F13"/>
    <w:rsid w:val="001272AF"/>
    <w:rsid w:val="001304BF"/>
    <w:rsid w:val="0013093C"/>
    <w:rsid w:val="001314D7"/>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35D5"/>
    <w:rsid w:val="001962C2"/>
    <w:rsid w:val="001969BE"/>
    <w:rsid w:val="00196E82"/>
    <w:rsid w:val="001A0A20"/>
    <w:rsid w:val="001A214B"/>
    <w:rsid w:val="001A33C3"/>
    <w:rsid w:val="001A685C"/>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46A4"/>
    <w:rsid w:val="002D676B"/>
    <w:rsid w:val="002D6978"/>
    <w:rsid w:val="002D76DD"/>
    <w:rsid w:val="002E03BF"/>
    <w:rsid w:val="002E1507"/>
    <w:rsid w:val="002E15A5"/>
    <w:rsid w:val="002E2751"/>
    <w:rsid w:val="002E2D7B"/>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13A5"/>
    <w:rsid w:val="00332808"/>
    <w:rsid w:val="00333402"/>
    <w:rsid w:val="00334300"/>
    <w:rsid w:val="00336F05"/>
    <w:rsid w:val="00337455"/>
    <w:rsid w:val="00337E83"/>
    <w:rsid w:val="0034046D"/>
    <w:rsid w:val="00340863"/>
    <w:rsid w:val="00343851"/>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244F"/>
    <w:rsid w:val="003756F2"/>
    <w:rsid w:val="00376A00"/>
    <w:rsid w:val="00380871"/>
    <w:rsid w:val="00381397"/>
    <w:rsid w:val="0038212F"/>
    <w:rsid w:val="003828E2"/>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33B5"/>
    <w:rsid w:val="003B4C91"/>
    <w:rsid w:val="003B5F32"/>
    <w:rsid w:val="003B5FFB"/>
    <w:rsid w:val="003B6DC0"/>
    <w:rsid w:val="003B70AD"/>
    <w:rsid w:val="003C0783"/>
    <w:rsid w:val="003C1374"/>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580"/>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00A"/>
    <w:rsid w:val="004945D5"/>
    <w:rsid w:val="004947BD"/>
    <w:rsid w:val="00495B4F"/>
    <w:rsid w:val="00497506"/>
    <w:rsid w:val="00497832"/>
    <w:rsid w:val="004A09C0"/>
    <w:rsid w:val="004A0A9A"/>
    <w:rsid w:val="004A172B"/>
    <w:rsid w:val="004A4274"/>
    <w:rsid w:val="004A48E6"/>
    <w:rsid w:val="004A5051"/>
    <w:rsid w:val="004A6FE0"/>
    <w:rsid w:val="004A7236"/>
    <w:rsid w:val="004B143B"/>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8D2"/>
    <w:rsid w:val="004F6BA9"/>
    <w:rsid w:val="004F7707"/>
    <w:rsid w:val="004F7EB0"/>
    <w:rsid w:val="00501E14"/>
    <w:rsid w:val="00502116"/>
    <w:rsid w:val="00503263"/>
    <w:rsid w:val="005032E7"/>
    <w:rsid w:val="00504D5D"/>
    <w:rsid w:val="005052C7"/>
    <w:rsid w:val="00506EDE"/>
    <w:rsid w:val="00510C22"/>
    <w:rsid w:val="00511246"/>
    <w:rsid w:val="005121D8"/>
    <w:rsid w:val="005122A1"/>
    <w:rsid w:val="00512B4A"/>
    <w:rsid w:val="005156CF"/>
    <w:rsid w:val="00515CEC"/>
    <w:rsid w:val="005166A5"/>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3AC"/>
    <w:rsid w:val="00546B67"/>
    <w:rsid w:val="00554E8E"/>
    <w:rsid w:val="00555461"/>
    <w:rsid w:val="005557C9"/>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6BB"/>
    <w:rsid w:val="00593737"/>
    <w:rsid w:val="005972A7"/>
    <w:rsid w:val="005978DB"/>
    <w:rsid w:val="00597AA2"/>
    <w:rsid w:val="005A1349"/>
    <w:rsid w:val="005A2507"/>
    <w:rsid w:val="005A2803"/>
    <w:rsid w:val="005A3172"/>
    <w:rsid w:val="005A57FA"/>
    <w:rsid w:val="005A583E"/>
    <w:rsid w:val="005A5BEC"/>
    <w:rsid w:val="005A65A2"/>
    <w:rsid w:val="005A7087"/>
    <w:rsid w:val="005A74FE"/>
    <w:rsid w:val="005A76D9"/>
    <w:rsid w:val="005B2823"/>
    <w:rsid w:val="005B465B"/>
    <w:rsid w:val="005B6F1F"/>
    <w:rsid w:val="005C0755"/>
    <w:rsid w:val="005C2C87"/>
    <w:rsid w:val="005C329C"/>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0DA2"/>
    <w:rsid w:val="0061239A"/>
    <w:rsid w:val="00612C0F"/>
    <w:rsid w:val="006133E5"/>
    <w:rsid w:val="00615358"/>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873E1"/>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0CAC"/>
    <w:rsid w:val="006D2575"/>
    <w:rsid w:val="006D4753"/>
    <w:rsid w:val="006D5CAB"/>
    <w:rsid w:val="006E0F76"/>
    <w:rsid w:val="006E1429"/>
    <w:rsid w:val="006E2881"/>
    <w:rsid w:val="006E4522"/>
    <w:rsid w:val="006E4F8A"/>
    <w:rsid w:val="006E64C7"/>
    <w:rsid w:val="006E6682"/>
    <w:rsid w:val="006E673C"/>
    <w:rsid w:val="006F356C"/>
    <w:rsid w:val="006F39FD"/>
    <w:rsid w:val="006F47D9"/>
    <w:rsid w:val="006F6992"/>
    <w:rsid w:val="006F6A88"/>
    <w:rsid w:val="006F7054"/>
    <w:rsid w:val="006F736E"/>
    <w:rsid w:val="006F7C62"/>
    <w:rsid w:val="00700643"/>
    <w:rsid w:val="00704042"/>
    <w:rsid w:val="00706FEC"/>
    <w:rsid w:val="0071118B"/>
    <w:rsid w:val="007133B5"/>
    <w:rsid w:val="00713B26"/>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08D1"/>
    <w:rsid w:val="007427E1"/>
    <w:rsid w:val="0074284B"/>
    <w:rsid w:val="00744C74"/>
    <w:rsid w:val="007510B8"/>
    <w:rsid w:val="007512F6"/>
    <w:rsid w:val="0075179A"/>
    <w:rsid w:val="00751AB1"/>
    <w:rsid w:val="007548D7"/>
    <w:rsid w:val="007553D4"/>
    <w:rsid w:val="00760AD1"/>
    <w:rsid w:val="00760D93"/>
    <w:rsid w:val="00761133"/>
    <w:rsid w:val="007619FB"/>
    <w:rsid w:val="0076203A"/>
    <w:rsid w:val="00763AF2"/>
    <w:rsid w:val="00767486"/>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646"/>
    <w:rsid w:val="008009B0"/>
    <w:rsid w:val="00800C95"/>
    <w:rsid w:val="00803597"/>
    <w:rsid w:val="008035BB"/>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D1C"/>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14C6"/>
    <w:rsid w:val="008B43F5"/>
    <w:rsid w:val="008C03A0"/>
    <w:rsid w:val="008C0ED3"/>
    <w:rsid w:val="008C0FFF"/>
    <w:rsid w:val="008C162C"/>
    <w:rsid w:val="008C2C97"/>
    <w:rsid w:val="008C392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6208"/>
    <w:rsid w:val="00917F97"/>
    <w:rsid w:val="00924AA2"/>
    <w:rsid w:val="009258C6"/>
    <w:rsid w:val="00925985"/>
    <w:rsid w:val="00930A02"/>
    <w:rsid w:val="00931845"/>
    <w:rsid w:val="00931FBC"/>
    <w:rsid w:val="00932C87"/>
    <w:rsid w:val="009401C7"/>
    <w:rsid w:val="00945C56"/>
    <w:rsid w:val="009462DD"/>
    <w:rsid w:val="009526A4"/>
    <w:rsid w:val="00952F8F"/>
    <w:rsid w:val="00953265"/>
    <w:rsid w:val="00953CA5"/>
    <w:rsid w:val="009546D0"/>
    <w:rsid w:val="009561A9"/>
    <w:rsid w:val="00956670"/>
    <w:rsid w:val="00957831"/>
    <w:rsid w:val="0096004A"/>
    <w:rsid w:val="009600BB"/>
    <w:rsid w:val="00961770"/>
    <w:rsid w:val="00961D14"/>
    <w:rsid w:val="00962660"/>
    <w:rsid w:val="00963F04"/>
    <w:rsid w:val="009643E2"/>
    <w:rsid w:val="00964B8E"/>
    <w:rsid w:val="009651B9"/>
    <w:rsid w:val="00967CC7"/>
    <w:rsid w:val="00971830"/>
    <w:rsid w:val="0097202A"/>
    <w:rsid w:val="00972E3C"/>
    <w:rsid w:val="00974D66"/>
    <w:rsid w:val="009750E5"/>
    <w:rsid w:val="0097601A"/>
    <w:rsid w:val="0097636F"/>
    <w:rsid w:val="009766BD"/>
    <w:rsid w:val="00976EA8"/>
    <w:rsid w:val="009775C5"/>
    <w:rsid w:val="0098075C"/>
    <w:rsid w:val="0098130D"/>
    <w:rsid w:val="00985EBE"/>
    <w:rsid w:val="009860F5"/>
    <w:rsid w:val="00990B7F"/>
    <w:rsid w:val="009912AB"/>
    <w:rsid w:val="00991B0F"/>
    <w:rsid w:val="00992545"/>
    <w:rsid w:val="00994C10"/>
    <w:rsid w:val="00995F34"/>
    <w:rsid w:val="00997041"/>
    <w:rsid w:val="00997E5D"/>
    <w:rsid w:val="009A16A5"/>
    <w:rsid w:val="009A194D"/>
    <w:rsid w:val="009A56D9"/>
    <w:rsid w:val="009A664B"/>
    <w:rsid w:val="009A702A"/>
    <w:rsid w:val="009A7FC5"/>
    <w:rsid w:val="009B0294"/>
    <w:rsid w:val="009B0462"/>
    <w:rsid w:val="009B0DBA"/>
    <w:rsid w:val="009B267A"/>
    <w:rsid w:val="009B542F"/>
    <w:rsid w:val="009B5572"/>
    <w:rsid w:val="009B6E5E"/>
    <w:rsid w:val="009B7EF8"/>
    <w:rsid w:val="009C11B1"/>
    <w:rsid w:val="009C13F9"/>
    <w:rsid w:val="009C258D"/>
    <w:rsid w:val="009C402F"/>
    <w:rsid w:val="009C5A69"/>
    <w:rsid w:val="009D1437"/>
    <w:rsid w:val="009D587E"/>
    <w:rsid w:val="009D680A"/>
    <w:rsid w:val="009D7E35"/>
    <w:rsid w:val="009E28A0"/>
    <w:rsid w:val="009E53A3"/>
    <w:rsid w:val="009E5AB7"/>
    <w:rsid w:val="009E65F6"/>
    <w:rsid w:val="009E74DA"/>
    <w:rsid w:val="009F18FD"/>
    <w:rsid w:val="009F2039"/>
    <w:rsid w:val="009F26A6"/>
    <w:rsid w:val="009F2D9A"/>
    <w:rsid w:val="009F4734"/>
    <w:rsid w:val="009F4B6B"/>
    <w:rsid w:val="009F58D0"/>
    <w:rsid w:val="009F79DC"/>
    <w:rsid w:val="00A00BFA"/>
    <w:rsid w:val="00A00DE4"/>
    <w:rsid w:val="00A00FA5"/>
    <w:rsid w:val="00A034D6"/>
    <w:rsid w:val="00A03887"/>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22FE"/>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96599"/>
    <w:rsid w:val="00AA0A77"/>
    <w:rsid w:val="00AA4A78"/>
    <w:rsid w:val="00AA4B61"/>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54E19"/>
    <w:rsid w:val="00B57CC3"/>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20A8"/>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3069"/>
    <w:rsid w:val="00BE41A3"/>
    <w:rsid w:val="00BE546A"/>
    <w:rsid w:val="00BE5D68"/>
    <w:rsid w:val="00BE62EA"/>
    <w:rsid w:val="00BF6609"/>
    <w:rsid w:val="00BF7038"/>
    <w:rsid w:val="00BF7AAD"/>
    <w:rsid w:val="00C0001A"/>
    <w:rsid w:val="00C00074"/>
    <w:rsid w:val="00C001DF"/>
    <w:rsid w:val="00C00DB2"/>
    <w:rsid w:val="00C00F1D"/>
    <w:rsid w:val="00C020A0"/>
    <w:rsid w:val="00C0578A"/>
    <w:rsid w:val="00C067AE"/>
    <w:rsid w:val="00C06CDD"/>
    <w:rsid w:val="00C07AED"/>
    <w:rsid w:val="00C1061F"/>
    <w:rsid w:val="00C10AC0"/>
    <w:rsid w:val="00C11B55"/>
    <w:rsid w:val="00C11CB1"/>
    <w:rsid w:val="00C129C4"/>
    <w:rsid w:val="00C12BB9"/>
    <w:rsid w:val="00C16E0E"/>
    <w:rsid w:val="00C17CDB"/>
    <w:rsid w:val="00C224C8"/>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706"/>
    <w:rsid w:val="00CB5DCD"/>
    <w:rsid w:val="00CB682F"/>
    <w:rsid w:val="00CB7A61"/>
    <w:rsid w:val="00CC1B49"/>
    <w:rsid w:val="00CC24EB"/>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545F"/>
    <w:rsid w:val="00D111F5"/>
    <w:rsid w:val="00D12861"/>
    <w:rsid w:val="00D136B7"/>
    <w:rsid w:val="00D13A88"/>
    <w:rsid w:val="00D14DDC"/>
    <w:rsid w:val="00D20378"/>
    <w:rsid w:val="00D216A2"/>
    <w:rsid w:val="00D2214C"/>
    <w:rsid w:val="00D23326"/>
    <w:rsid w:val="00D237DE"/>
    <w:rsid w:val="00D23962"/>
    <w:rsid w:val="00D243CB"/>
    <w:rsid w:val="00D24A4B"/>
    <w:rsid w:val="00D26F12"/>
    <w:rsid w:val="00D31B0E"/>
    <w:rsid w:val="00D31E17"/>
    <w:rsid w:val="00D3376F"/>
    <w:rsid w:val="00D350A6"/>
    <w:rsid w:val="00D3783E"/>
    <w:rsid w:val="00D37A3C"/>
    <w:rsid w:val="00D41C54"/>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525"/>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3150"/>
    <w:rsid w:val="00E1450C"/>
    <w:rsid w:val="00E158A2"/>
    <w:rsid w:val="00E16F62"/>
    <w:rsid w:val="00E1750C"/>
    <w:rsid w:val="00E22D17"/>
    <w:rsid w:val="00E23C98"/>
    <w:rsid w:val="00E26992"/>
    <w:rsid w:val="00E277A1"/>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665"/>
    <w:rsid w:val="00E5372B"/>
    <w:rsid w:val="00E53C08"/>
    <w:rsid w:val="00E54B0E"/>
    <w:rsid w:val="00E5768A"/>
    <w:rsid w:val="00E5779F"/>
    <w:rsid w:val="00E57A60"/>
    <w:rsid w:val="00E61736"/>
    <w:rsid w:val="00E61CDC"/>
    <w:rsid w:val="00E6487C"/>
    <w:rsid w:val="00E64C9D"/>
    <w:rsid w:val="00E6544B"/>
    <w:rsid w:val="00E65876"/>
    <w:rsid w:val="00E70574"/>
    <w:rsid w:val="00E718A6"/>
    <w:rsid w:val="00E7713B"/>
    <w:rsid w:val="00E777C5"/>
    <w:rsid w:val="00E80477"/>
    <w:rsid w:val="00E80FBE"/>
    <w:rsid w:val="00E818A8"/>
    <w:rsid w:val="00E81E9F"/>
    <w:rsid w:val="00E82183"/>
    <w:rsid w:val="00E84C74"/>
    <w:rsid w:val="00E85F6A"/>
    <w:rsid w:val="00E8679F"/>
    <w:rsid w:val="00E9069C"/>
    <w:rsid w:val="00E909DA"/>
    <w:rsid w:val="00E913FF"/>
    <w:rsid w:val="00E9331A"/>
    <w:rsid w:val="00E96B6D"/>
    <w:rsid w:val="00E97CF4"/>
    <w:rsid w:val="00E97E4C"/>
    <w:rsid w:val="00E97F75"/>
    <w:rsid w:val="00EA5044"/>
    <w:rsid w:val="00EA7D5B"/>
    <w:rsid w:val="00EB0F82"/>
    <w:rsid w:val="00EB118F"/>
    <w:rsid w:val="00EB1F53"/>
    <w:rsid w:val="00EB4683"/>
    <w:rsid w:val="00EB602D"/>
    <w:rsid w:val="00EB6817"/>
    <w:rsid w:val="00EB7E2E"/>
    <w:rsid w:val="00EC05E8"/>
    <w:rsid w:val="00EC1AB2"/>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2C0A"/>
    <w:rsid w:val="00F2344D"/>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4CEA"/>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2A79"/>
    <w:rsid w:val="00FA31A5"/>
    <w:rsid w:val="00FA361C"/>
    <w:rsid w:val="00FA370C"/>
    <w:rsid w:val="00FA3C47"/>
    <w:rsid w:val="00FA44FB"/>
    <w:rsid w:val="00FA4749"/>
    <w:rsid w:val="00FA53B1"/>
    <w:rsid w:val="00FA6F2C"/>
    <w:rsid w:val="00FB0CC5"/>
    <w:rsid w:val="00FB0D21"/>
    <w:rsid w:val="00FB0E4B"/>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A319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E28A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7510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9A194D"/>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97390857">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3E5F9-D9BA-4E59-93D8-28E9EBD3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3</Pages>
  <Words>1184</Words>
  <Characters>6517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168</cp:revision>
  <cp:lastPrinted>2019-08-14T19:41:00Z</cp:lastPrinted>
  <dcterms:created xsi:type="dcterms:W3CDTF">2018-05-02T21:37:00Z</dcterms:created>
  <dcterms:modified xsi:type="dcterms:W3CDTF">2019-08-28T17:25:00Z</dcterms:modified>
</cp:coreProperties>
</file>