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441EC6" w:rsidP="000E4C68">
      <w:pPr>
        <w:tabs>
          <w:tab w:val="left" w:pos="7313"/>
        </w:tabs>
        <w:outlineLvl w:val="4"/>
        <w:rPr>
          <w:rFonts w:ascii="Arial" w:hAnsi="Arial" w:cs="Arial"/>
          <w:b/>
          <w:bCs/>
          <w:iCs/>
          <w:sz w:val="26"/>
          <w:szCs w:val="22"/>
          <w:lang w:val="es-CR"/>
        </w:rPr>
      </w:pPr>
      <w:r>
        <w:rPr>
          <w:rFonts w:ascii="Arial" w:hAnsi="Arial" w:cs="Arial"/>
          <w:b/>
          <w:bCs/>
          <w:iCs/>
          <w:sz w:val="26"/>
          <w:szCs w:val="22"/>
          <w:lang w:val="es-CR"/>
        </w:rPr>
        <w:t>SCI</w:t>
      </w:r>
      <w:r w:rsidR="00E45CAD">
        <w:rPr>
          <w:rFonts w:ascii="Arial" w:hAnsi="Arial" w:cs="Arial"/>
          <w:b/>
          <w:bCs/>
          <w:iCs/>
          <w:sz w:val="26"/>
          <w:szCs w:val="22"/>
          <w:lang w:val="es-CR"/>
        </w:rPr>
        <w:t>-520</w:t>
      </w:r>
      <w:r>
        <w:rPr>
          <w:rFonts w:ascii="Arial" w:hAnsi="Arial" w:cs="Arial"/>
          <w:b/>
          <w:bCs/>
          <w:iCs/>
          <w:sz w:val="26"/>
          <w:szCs w:val="22"/>
          <w:lang w:val="es-CR"/>
        </w:rPr>
        <w:t>-</w:t>
      </w:r>
      <w:r w:rsidR="007742A1"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56337D" w:rsidRDefault="0056337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56337D" w:rsidRDefault="00E45CAD" w:rsidP="00F5243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441EC6" w:rsidRPr="008E0D8C" w:rsidRDefault="00441EC6" w:rsidP="00F5243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8557C9" w:rsidRPr="008E0D8C" w:rsidRDefault="008557C9" w:rsidP="007742A1">
            <w:pPr>
              <w:tabs>
                <w:tab w:val="right" w:pos="2410"/>
                <w:tab w:val="left" w:pos="2694"/>
              </w:tabs>
              <w:rPr>
                <w:rFonts w:ascii="Arial" w:eastAsia="Cambria" w:hAnsi="Arial" w:cs="Arial"/>
                <w:b/>
                <w:sz w:val="22"/>
                <w:szCs w:val="22"/>
                <w:lang w:eastAsia="en-US"/>
              </w:rPr>
            </w:pPr>
          </w:p>
          <w:p w:rsidR="007F1052" w:rsidRPr="008E0D8C" w:rsidRDefault="0026684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w:t>
            </w:r>
            <w:r w:rsidR="006C6D25">
              <w:rPr>
                <w:rFonts w:ascii="Arial" w:eastAsia="Cambria" w:hAnsi="Arial" w:cs="Arial"/>
                <w:b/>
                <w:sz w:val="22"/>
                <w:szCs w:val="22"/>
                <w:lang w:val="es-ES_tradnl" w:eastAsia="en-US"/>
              </w:rPr>
              <w:t>l</w:t>
            </w:r>
            <w:r w:rsidR="000A0FF7">
              <w:rPr>
                <w:rFonts w:ascii="Arial" w:eastAsia="Cambria" w:hAnsi="Arial" w:cs="Arial"/>
                <w:b/>
                <w:sz w:val="22"/>
                <w:szCs w:val="22"/>
                <w:lang w:val="es-ES_tradnl" w:eastAsia="en-US"/>
              </w:rPr>
              <w:t>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56337D">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266848">
              <w:rPr>
                <w:rFonts w:ascii="Arial" w:eastAsia="Calibri" w:hAnsi="Arial" w:cs="Arial"/>
                <w:b/>
                <w:sz w:val="22"/>
                <w:szCs w:val="22"/>
              </w:rPr>
              <w:t>80</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FD2121">
              <w:rPr>
                <w:rFonts w:ascii="Arial" w:eastAsia="Calibri" w:hAnsi="Arial" w:cs="Arial"/>
                <w:b/>
                <w:sz w:val="22"/>
                <w:szCs w:val="22"/>
              </w:rPr>
              <w:t>1</w:t>
            </w:r>
            <w:r w:rsidR="00BC552C">
              <w:rPr>
                <w:rFonts w:ascii="Arial" w:eastAsia="Calibri" w:hAnsi="Arial" w:cs="Arial"/>
                <w:b/>
                <w:sz w:val="22"/>
                <w:szCs w:val="22"/>
              </w:rPr>
              <w:t>2</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266848">
              <w:rPr>
                <w:rFonts w:ascii="Arial" w:eastAsia="Calibri" w:hAnsi="Arial" w:cs="Arial"/>
                <w:b/>
                <w:sz w:val="22"/>
                <w:szCs w:val="22"/>
              </w:rPr>
              <w:t>24</w:t>
            </w:r>
            <w:r w:rsidR="001E1E49">
              <w:rPr>
                <w:rFonts w:ascii="Arial" w:eastAsia="Calibri" w:hAnsi="Arial" w:cs="Arial"/>
                <w:b/>
                <w:sz w:val="22"/>
                <w:szCs w:val="22"/>
              </w:rPr>
              <w:t xml:space="preserve"> </w:t>
            </w:r>
            <w:r w:rsidR="006C6D25">
              <w:rPr>
                <w:rFonts w:ascii="Arial" w:eastAsia="Calibri" w:hAnsi="Arial" w:cs="Arial"/>
                <w:b/>
                <w:sz w:val="22"/>
                <w:szCs w:val="22"/>
              </w:rPr>
              <w:t>de jul</w:t>
            </w:r>
            <w:r w:rsidR="000A0FF7">
              <w:rPr>
                <w:rFonts w:ascii="Arial" w:eastAsia="Calibri" w:hAnsi="Arial" w:cs="Arial"/>
                <w:b/>
                <w:sz w:val="22"/>
                <w:szCs w:val="22"/>
              </w:rPr>
              <w:t xml:space="preserve">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EF535B">
              <w:rPr>
                <w:rFonts w:ascii="Arial" w:eastAsia="Calibri" w:hAnsi="Arial" w:cs="Arial"/>
                <w:b/>
                <w:sz w:val="22"/>
                <w:szCs w:val="22"/>
              </w:rPr>
              <w:t>Ampliación de plazo otorgados en el “Plan de acción de las auditorías externas:  Calidad de la liquidación presupuestaria 2016 y sobre los estados financieros al 31 de diciembre del 2016, aprobado en la Sesión Ordinaria NO. 3037, Artículo 14, del 06 de setiembre de 2017</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441EC6">
      <w:pPr>
        <w:jc w:val="right"/>
        <w:rPr>
          <w:rFonts w:ascii="Arial" w:eastAsia="Cambria" w:hAnsi="Arial" w:cs="Arial"/>
          <w:lang w:val="es-ES_tradnl" w:eastAsia="en-US"/>
        </w:rPr>
      </w:pPr>
    </w:p>
    <w:p w:rsidR="00E45CAD" w:rsidRPr="00E45CAD" w:rsidRDefault="00E45CAD" w:rsidP="00E45CAD">
      <w:pPr>
        <w:jc w:val="both"/>
        <w:outlineLvl w:val="0"/>
        <w:rPr>
          <w:rFonts w:ascii="Arial" w:hAnsi="Arial" w:cs="Arial"/>
          <w:b/>
          <w:lang w:val="es-CR"/>
        </w:rPr>
      </w:pPr>
      <w:r w:rsidRPr="00E45CAD">
        <w:rPr>
          <w:rFonts w:ascii="Arial" w:hAnsi="Arial" w:cs="Arial"/>
          <w:b/>
          <w:lang w:val="es-CR"/>
        </w:rPr>
        <w:t>RESULTANDO QUE:</w:t>
      </w:r>
    </w:p>
    <w:p w:rsidR="00E45CAD" w:rsidRPr="00E45CAD" w:rsidRDefault="00E45CAD" w:rsidP="00E45CAD">
      <w:pPr>
        <w:jc w:val="both"/>
        <w:rPr>
          <w:rFonts w:ascii="Arial" w:hAnsi="Arial" w:cs="Arial"/>
          <w:sz w:val="20"/>
          <w:szCs w:val="20"/>
          <w:lang w:val="es-CR"/>
        </w:rPr>
      </w:pPr>
    </w:p>
    <w:p w:rsidR="00E45CAD" w:rsidRPr="00E45CAD" w:rsidRDefault="00E45CAD" w:rsidP="00E45CAD">
      <w:pPr>
        <w:numPr>
          <w:ilvl w:val="0"/>
          <w:numId w:val="13"/>
        </w:numPr>
        <w:ind w:left="426" w:hanging="426"/>
        <w:jc w:val="both"/>
        <w:rPr>
          <w:rFonts w:ascii="Arial" w:hAnsi="Arial" w:cs="Arial"/>
        </w:rPr>
      </w:pPr>
      <w:r w:rsidRPr="00E45CAD">
        <w:rPr>
          <w:rFonts w:ascii="Arial" w:hAnsi="Arial" w:cs="Arial"/>
        </w:rPr>
        <w:t>El Artículo 26 del Reglamento del Consejo Institucional establece:</w:t>
      </w:r>
    </w:p>
    <w:p w:rsidR="00E45CAD" w:rsidRPr="00E45CAD" w:rsidRDefault="00E45CAD" w:rsidP="00E45CAD">
      <w:pPr>
        <w:ind w:left="709" w:right="284"/>
        <w:rPr>
          <w:rFonts w:ascii="Arial" w:hAnsi="Arial" w:cs="Arial"/>
          <w:i/>
          <w:sz w:val="22"/>
          <w:szCs w:val="22"/>
        </w:rPr>
      </w:pPr>
    </w:p>
    <w:p w:rsidR="00E45CAD" w:rsidRPr="0056337D" w:rsidRDefault="00E45CAD" w:rsidP="00E45CAD">
      <w:pPr>
        <w:ind w:left="709" w:right="284"/>
        <w:rPr>
          <w:rFonts w:ascii="Arial" w:hAnsi="Arial" w:cs="Arial"/>
          <w:i/>
          <w:sz w:val="20"/>
          <w:szCs w:val="20"/>
          <w:lang w:eastAsia="es-CR"/>
        </w:rPr>
      </w:pPr>
      <w:r w:rsidRPr="0056337D">
        <w:rPr>
          <w:rFonts w:ascii="Arial" w:hAnsi="Arial" w:cs="Arial"/>
          <w:i/>
          <w:sz w:val="20"/>
          <w:szCs w:val="20"/>
        </w:rPr>
        <w:t xml:space="preserve">“Artículo 26 </w:t>
      </w:r>
    </w:p>
    <w:p w:rsidR="00E45CAD" w:rsidRPr="0056337D" w:rsidRDefault="00E45CAD" w:rsidP="00E45CAD">
      <w:pPr>
        <w:ind w:left="709" w:right="284"/>
        <w:jc w:val="both"/>
        <w:rPr>
          <w:rFonts w:ascii="Arial" w:hAnsi="Arial" w:cs="Arial"/>
          <w:i/>
          <w:sz w:val="20"/>
          <w:szCs w:val="20"/>
        </w:rPr>
      </w:pPr>
      <w:r w:rsidRPr="0056337D">
        <w:rPr>
          <w:rFonts w:ascii="Arial" w:hAnsi="Arial" w:cs="Arial"/>
          <w:i/>
          <w:sz w:val="20"/>
          <w:szCs w:val="20"/>
          <w:lang w:val="es-CR"/>
        </w:rPr>
        <w:t xml:space="preserve">Las personas que coordinan las Comisiones Especiales serán los responsables de presentar a la Comisión Permanente del Consejo Institucional a la que le fue asignada el asunto, el dictamen o proyecto respectivo dentro del tiempo señalado por el Órgano. Sin embargo, antes del vencimiento del plazo la Comisión Permanente respectiva podrá ampliarlo hasta por un 50% del tiempo establecido, siempre y cuando medie justa causa. </w:t>
      </w:r>
      <w:r w:rsidRPr="0056337D">
        <w:rPr>
          <w:rFonts w:ascii="Arial" w:hAnsi="Arial" w:cs="Arial"/>
          <w:i/>
          <w:sz w:val="20"/>
          <w:szCs w:val="20"/>
          <w:lang w:val="es-CR"/>
        </w:rPr>
        <w:br/>
      </w:r>
      <w:r w:rsidRPr="0056337D">
        <w:rPr>
          <w:rFonts w:ascii="Arial" w:hAnsi="Arial" w:cs="Arial"/>
          <w:i/>
          <w:sz w:val="20"/>
          <w:szCs w:val="20"/>
          <w:lang w:val="es-CR"/>
        </w:rPr>
        <w:br/>
        <w:t>Si el plazo excede del 50%, original deberá de elevarse al Consejo Institucional. Las solicitudes de prórroga deben remitirse en el respectivo formulario.”</w:t>
      </w:r>
    </w:p>
    <w:p w:rsidR="00E45CAD" w:rsidRPr="00E45CAD" w:rsidRDefault="00E45CAD" w:rsidP="00E45CAD">
      <w:pPr>
        <w:jc w:val="both"/>
        <w:rPr>
          <w:rFonts w:ascii="Arial" w:hAnsi="Arial" w:cs="Arial"/>
          <w:sz w:val="20"/>
          <w:szCs w:val="20"/>
          <w:lang w:val="es-CR"/>
        </w:rPr>
      </w:pPr>
    </w:p>
    <w:p w:rsidR="00E45CAD" w:rsidRPr="00E45CAD" w:rsidRDefault="00E45CAD" w:rsidP="00E45CAD">
      <w:pPr>
        <w:numPr>
          <w:ilvl w:val="0"/>
          <w:numId w:val="13"/>
        </w:numPr>
        <w:ind w:left="426" w:hanging="426"/>
        <w:jc w:val="both"/>
        <w:rPr>
          <w:rFonts w:ascii="Arial" w:hAnsi="Arial" w:cs="Arial"/>
        </w:rPr>
      </w:pPr>
      <w:r w:rsidRPr="00E45CAD">
        <w:rPr>
          <w:rFonts w:ascii="Arial" w:hAnsi="Arial" w:cs="Arial"/>
        </w:rPr>
        <w:t xml:space="preserve">El Consejo Institucional en la Sesión Ordinaria No. 3037, Artículo 14, del 06 de setiembre de 2017, aprobó el “Plan de acción de las auditorías externas: Calidad </w:t>
      </w:r>
      <w:bookmarkStart w:id="0" w:name="_GoBack"/>
      <w:bookmarkEnd w:id="0"/>
      <w:r w:rsidRPr="00E45CAD">
        <w:rPr>
          <w:rFonts w:ascii="Arial" w:hAnsi="Arial" w:cs="Arial"/>
        </w:rPr>
        <w:t>de la liquidación presupuestaria 2016 y sobre los estados financieros al 31 de diciembre del 2016”.</w:t>
      </w:r>
    </w:p>
    <w:p w:rsidR="00E45CAD" w:rsidRPr="00E45CAD" w:rsidRDefault="00E45CAD" w:rsidP="00E45CAD">
      <w:pPr>
        <w:jc w:val="both"/>
        <w:rPr>
          <w:rFonts w:ascii="Arial" w:hAnsi="Arial" w:cs="Arial"/>
          <w:sz w:val="16"/>
          <w:szCs w:val="16"/>
        </w:rPr>
      </w:pPr>
      <w:r w:rsidRPr="00E45CAD">
        <w:rPr>
          <w:rFonts w:ascii="Arial" w:hAnsi="Arial" w:cs="Arial"/>
          <w:sz w:val="16"/>
          <w:szCs w:val="16"/>
        </w:rPr>
        <w:t xml:space="preserve"> </w:t>
      </w:r>
    </w:p>
    <w:tbl>
      <w:tblPr>
        <w:tblW w:w="9923" w:type="dxa"/>
        <w:tblInd w:w="-5" w:type="dxa"/>
        <w:tblLayout w:type="fixed"/>
        <w:tblCellMar>
          <w:left w:w="70" w:type="dxa"/>
          <w:right w:w="70" w:type="dxa"/>
        </w:tblCellMar>
        <w:tblLook w:val="04A0" w:firstRow="1" w:lastRow="0" w:firstColumn="1" w:lastColumn="0" w:noHBand="0" w:noVBand="1"/>
      </w:tblPr>
      <w:tblGrid>
        <w:gridCol w:w="1135"/>
        <w:gridCol w:w="1275"/>
        <w:gridCol w:w="2552"/>
        <w:gridCol w:w="1134"/>
        <w:gridCol w:w="2410"/>
        <w:gridCol w:w="1417"/>
      </w:tblGrid>
      <w:tr w:rsidR="00E45CAD" w:rsidRPr="00E45CAD" w:rsidTr="00FA5A57">
        <w:trPr>
          <w:trHeight w:val="615"/>
          <w:tblHeader/>
        </w:trPr>
        <w:tc>
          <w:tcPr>
            <w:tcW w:w="1135" w:type="dxa"/>
            <w:tcBorders>
              <w:top w:val="single" w:sz="4" w:space="0" w:color="auto"/>
              <w:left w:val="single" w:sz="4" w:space="0" w:color="auto"/>
              <w:bottom w:val="single" w:sz="4" w:space="0" w:color="auto"/>
              <w:right w:val="single" w:sz="4" w:space="0" w:color="auto"/>
            </w:tcBorders>
            <w:shd w:val="clear" w:color="000000" w:fill="BDD6EE"/>
          </w:tcPr>
          <w:p w:rsidR="00E45CAD" w:rsidRPr="00E45CAD" w:rsidRDefault="00E45CAD" w:rsidP="00E45CAD">
            <w:pPr>
              <w:rPr>
                <w:rFonts w:ascii="Arial" w:hAnsi="Arial" w:cs="Arial"/>
                <w:b/>
                <w:bCs/>
                <w:sz w:val="16"/>
                <w:szCs w:val="16"/>
                <w:lang w:val="es-CR" w:eastAsia="es-CR"/>
              </w:rPr>
            </w:pPr>
            <w:r w:rsidRPr="00E45CAD">
              <w:rPr>
                <w:rFonts w:ascii="Arial" w:hAnsi="Arial" w:cs="Arial"/>
                <w:b/>
                <w:bCs/>
                <w:color w:val="000000"/>
                <w:sz w:val="16"/>
                <w:szCs w:val="16"/>
                <w:lang w:val="es-CR" w:eastAsia="es-CR"/>
              </w:rPr>
              <w:t>Auditoría Externa Núm.</w:t>
            </w:r>
          </w:p>
        </w:tc>
        <w:tc>
          <w:tcPr>
            <w:tcW w:w="1275" w:type="dxa"/>
            <w:tcBorders>
              <w:top w:val="single" w:sz="4" w:space="0" w:color="auto"/>
              <w:left w:val="single" w:sz="4" w:space="0" w:color="auto"/>
              <w:bottom w:val="single" w:sz="4" w:space="0" w:color="auto"/>
              <w:right w:val="single" w:sz="4" w:space="0" w:color="auto"/>
            </w:tcBorders>
            <w:shd w:val="clear" w:color="000000" w:fill="BDD6EE"/>
          </w:tcPr>
          <w:p w:rsidR="00E45CAD" w:rsidRPr="00E45CAD" w:rsidRDefault="00E45CAD" w:rsidP="00E45CAD">
            <w:pPr>
              <w:rPr>
                <w:rFonts w:ascii="Arial" w:hAnsi="Arial" w:cs="Arial"/>
                <w:b/>
                <w:bCs/>
                <w:color w:val="000000"/>
                <w:sz w:val="16"/>
                <w:szCs w:val="16"/>
                <w:lang w:val="es-CR" w:eastAsia="es-CR"/>
              </w:rPr>
            </w:pPr>
          </w:p>
          <w:p w:rsidR="00E45CAD" w:rsidRPr="00E45CAD" w:rsidRDefault="00E45CAD" w:rsidP="00E45CAD">
            <w:pPr>
              <w:rPr>
                <w:rFonts w:ascii="Arial" w:hAnsi="Arial" w:cs="Arial"/>
                <w:b/>
                <w:bCs/>
                <w:sz w:val="16"/>
                <w:szCs w:val="16"/>
                <w:lang w:val="es-CR" w:eastAsia="es-CR"/>
              </w:rPr>
            </w:pPr>
            <w:r w:rsidRPr="00E45CAD">
              <w:rPr>
                <w:rFonts w:ascii="Arial" w:hAnsi="Arial" w:cs="Arial"/>
                <w:b/>
                <w:bCs/>
                <w:color w:val="000000"/>
                <w:sz w:val="16"/>
                <w:szCs w:val="16"/>
                <w:lang w:val="es-CR" w:eastAsia="es-CR"/>
              </w:rPr>
              <w:t>Hallazgo Núm.</w:t>
            </w:r>
          </w:p>
        </w:tc>
        <w:tc>
          <w:tcPr>
            <w:tcW w:w="2552" w:type="dxa"/>
            <w:tcBorders>
              <w:top w:val="single" w:sz="8" w:space="0" w:color="auto"/>
              <w:left w:val="single" w:sz="4" w:space="0" w:color="auto"/>
              <w:bottom w:val="single" w:sz="4" w:space="0" w:color="auto"/>
              <w:right w:val="single" w:sz="4" w:space="0" w:color="auto"/>
            </w:tcBorders>
            <w:shd w:val="clear" w:color="000000" w:fill="BDD6EE"/>
            <w:vAlign w:val="center"/>
            <w:hideMark/>
          </w:tcPr>
          <w:p w:rsidR="00E45CAD" w:rsidRPr="00E45CAD" w:rsidRDefault="00E45CAD" w:rsidP="00E45CAD">
            <w:pPr>
              <w:rPr>
                <w:rFonts w:ascii="Arial" w:hAnsi="Arial" w:cs="Arial"/>
                <w:b/>
                <w:bCs/>
                <w:sz w:val="16"/>
                <w:szCs w:val="16"/>
                <w:lang w:val="es-CR" w:eastAsia="es-CR"/>
              </w:rPr>
            </w:pPr>
            <w:r w:rsidRPr="00E45CAD">
              <w:rPr>
                <w:rFonts w:ascii="Arial" w:hAnsi="Arial" w:cs="Arial"/>
                <w:b/>
                <w:bCs/>
                <w:sz w:val="16"/>
                <w:szCs w:val="16"/>
                <w:lang w:val="es-CR" w:eastAsia="es-CR"/>
              </w:rPr>
              <w:t>Acciones a desarrollar</w:t>
            </w:r>
          </w:p>
        </w:tc>
        <w:tc>
          <w:tcPr>
            <w:tcW w:w="1134" w:type="dxa"/>
            <w:tcBorders>
              <w:top w:val="single" w:sz="8" w:space="0" w:color="auto"/>
              <w:left w:val="nil"/>
              <w:bottom w:val="single" w:sz="4" w:space="0" w:color="auto"/>
              <w:right w:val="single" w:sz="4" w:space="0" w:color="auto"/>
            </w:tcBorders>
            <w:shd w:val="clear" w:color="000000" w:fill="BDD6EE"/>
            <w:vAlign w:val="center"/>
            <w:hideMark/>
          </w:tcPr>
          <w:p w:rsidR="00E45CAD" w:rsidRPr="00E45CAD" w:rsidRDefault="00E45CAD" w:rsidP="00E45CAD">
            <w:pPr>
              <w:rPr>
                <w:rFonts w:ascii="Arial" w:hAnsi="Arial" w:cs="Arial"/>
                <w:b/>
                <w:bCs/>
                <w:color w:val="000000"/>
                <w:sz w:val="16"/>
                <w:szCs w:val="16"/>
                <w:lang w:val="es-CR" w:eastAsia="es-CR"/>
              </w:rPr>
            </w:pPr>
            <w:r w:rsidRPr="00E45CAD">
              <w:rPr>
                <w:rFonts w:ascii="Arial" w:hAnsi="Arial" w:cs="Arial"/>
                <w:b/>
                <w:bCs/>
                <w:color w:val="000000"/>
                <w:sz w:val="16"/>
                <w:szCs w:val="16"/>
                <w:lang w:val="es-CR" w:eastAsia="es-CR"/>
              </w:rPr>
              <w:t>Fecha de Finalización</w:t>
            </w:r>
          </w:p>
        </w:tc>
        <w:tc>
          <w:tcPr>
            <w:tcW w:w="2410" w:type="dxa"/>
            <w:tcBorders>
              <w:top w:val="single" w:sz="8" w:space="0" w:color="auto"/>
              <w:left w:val="nil"/>
              <w:bottom w:val="single" w:sz="4" w:space="0" w:color="auto"/>
              <w:right w:val="single" w:sz="4" w:space="0" w:color="auto"/>
            </w:tcBorders>
            <w:shd w:val="clear" w:color="000000" w:fill="BDD6EE"/>
            <w:vAlign w:val="center"/>
            <w:hideMark/>
          </w:tcPr>
          <w:p w:rsidR="00E45CAD" w:rsidRPr="00E45CAD" w:rsidRDefault="00E45CAD" w:rsidP="00E45CAD">
            <w:pPr>
              <w:rPr>
                <w:rFonts w:ascii="Arial" w:hAnsi="Arial" w:cs="Arial"/>
                <w:b/>
                <w:bCs/>
                <w:color w:val="000000"/>
                <w:sz w:val="16"/>
                <w:szCs w:val="16"/>
                <w:lang w:val="es-CR" w:eastAsia="es-CR"/>
              </w:rPr>
            </w:pPr>
            <w:r w:rsidRPr="00E45CAD">
              <w:rPr>
                <w:rFonts w:ascii="Arial" w:hAnsi="Arial" w:cs="Arial"/>
                <w:b/>
                <w:bCs/>
                <w:color w:val="000000"/>
                <w:sz w:val="16"/>
                <w:szCs w:val="16"/>
                <w:lang w:val="es-CR" w:eastAsia="es-CR"/>
              </w:rPr>
              <w:t>Producto a obtener</w:t>
            </w:r>
          </w:p>
        </w:tc>
        <w:tc>
          <w:tcPr>
            <w:tcW w:w="1417" w:type="dxa"/>
            <w:tcBorders>
              <w:top w:val="single" w:sz="8" w:space="0" w:color="auto"/>
              <w:left w:val="nil"/>
              <w:bottom w:val="single" w:sz="4" w:space="0" w:color="auto"/>
              <w:right w:val="single" w:sz="8" w:space="0" w:color="auto"/>
            </w:tcBorders>
            <w:shd w:val="clear" w:color="000000" w:fill="BDD6EE"/>
            <w:vAlign w:val="center"/>
            <w:hideMark/>
          </w:tcPr>
          <w:p w:rsidR="00E45CAD" w:rsidRPr="00E45CAD" w:rsidRDefault="00E45CAD" w:rsidP="00E45CAD">
            <w:pPr>
              <w:rPr>
                <w:rFonts w:ascii="Arial" w:hAnsi="Arial" w:cs="Arial"/>
                <w:b/>
                <w:bCs/>
                <w:color w:val="000000"/>
                <w:sz w:val="16"/>
                <w:szCs w:val="16"/>
                <w:lang w:val="es-CR" w:eastAsia="es-CR"/>
              </w:rPr>
            </w:pPr>
            <w:r w:rsidRPr="00E45CAD">
              <w:rPr>
                <w:rFonts w:ascii="Arial" w:hAnsi="Arial" w:cs="Arial"/>
                <w:b/>
                <w:bCs/>
                <w:color w:val="000000"/>
                <w:sz w:val="16"/>
                <w:szCs w:val="16"/>
                <w:lang w:val="es-CR" w:eastAsia="es-CR"/>
              </w:rPr>
              <w:t>Responsable</w:t>
            </w:r>
          </w:p>
        </w:tc>
      </w:tr>
      <w:tr w:rsidR="00E45CAD" w:rsidRPr="00E45CAD" w:rsidTr="00FA5A57">
        <w:trPr>
          <w:trHeight w:val="1125"/>
        </w:trPr>
        <w:tc>
          <w:tcPr>
            <w:tcW w:w="1135" w:type="dxa"/>
            <w:vMerge w:val="restart"/>
            <w:tcBorders>
              <w:top w:val="single" w:sz="4" w:space="0" w:color="auto"/>
              <w:left w:val="single" w:sz="4" w:space="0" w:color="auto"/>
              <w:right w:val="single" w:sz="4" w:space="0" w:color="auto"/>
            </w:tcBorders>
          </w:tcPr>
          <w:p w:rsidR="00E45CAD" w:rsidRPr="00E45CAD" w:rsidRDefault="00E45CAD" w:rsidP="00E45CAD">
            <w:pPr>
              <w:jc w:val="center"/>
              <w:rPr>
                <w:rFonts w:ascii="Arial" w:hAnsi="Arial" w:cs="Arial"/>
                <w:sz w:val="16"/>
                <w:szCs w:val="16"/>
                <w:lang w:val="es-CR" w:eastAsia="es-CR"/>
              </w:rPr>
            </w:pPr>
          </w:p>
          <w:p w:rsidR="00E45CAD" w:rsidRPr="00E45CAD" w:rsidRDefault="00E45CAD" w:rsidP="00E45CAD">
            <w:pPr>
              <w:jc w:val="center"/>
              <w:rPr>
                <w:rFonts w:ascii="Arial" w:hAnsi="Arial" w:cs="Arial"/>
                <w:sz w:val="16"/>
                <w:szCs w:val="16"/>
                <w:lang w:val="es-CR" w:eastAsia="es-CR"/>
              </w:rPr>
            </w:pPr>
          </w:p>
          <w:p w:rsidR="00E45CAD" w:rsidRPr="00E45CAD" w:rsidRDefault="00E45CAD" w:rsidP="00E45CAD">
            <w:pPr>
              <w:jc w:val="center"/>
              <w:rPr>
                <w:rFonts w:ascii="Arial" w:hAnsi="Arial" w:cs="Arial"/>
                <w:sz w:val="16"/>
                <w:szCs w:val="16"/>
                <w:lang w:val="es-CR" w:eastAsia="es-CR"/>
              </w:rPr>
            </w:pPr>
          </w:p>
          <w:p w:rsidR="00E45CAD" w:rsidRPr="00E45CAD" w:rsidRDefault="00E45CAD" w:rsidP="00E45CAD">
            <w:pPr>
              <w:jc w:val="center"/>
              <w:rPr>
                <w:rFonts w:ascii="Arial" w:hAnsi="Arial" w:cs="Arial"/>
                <w:sz w:val="16"/>
                <w:szCs w:val="16"/>
                <w:lang w:val="es-CR" w:eastAsia="es-CR"/>
              </w:rPr>
            </w:pPr>
          </w:p>
          <w:p w:rsidR="00E45CAD" w:rsidRPr="00E45CAD" w:rsidRDefault="00E45CAD" w:rsidP="00E45CAD">
            <w:pPr>
              <w:jc w:val="center"/>
              <w:rPr>
                <w:rFonts w:ascii="Arial" w:hAnsi="Arial" w:cs="Arial"/>
                <w:sz w:val="16"/>
                <w:szCs w:val="16"/>
                <w:lang w:val="es-CR" w:eastAsia="es-CR"/>
              </w:rPr>
            </w:pPr>
          </w:p>
          <w:p w:rsidR="00E45CAD" w:rsidRPr="00E45CAD" w:rsidRDefault="00E45CAD" w:rsidP="00E45CAD">
            <w:pPr>
              <w:jc w:val="center"/>
              <w:rPr>
                <w:rFonts w:ascii="Arial" w:hAnsi="Arial" w:cs="Arial"/>
                <w:sz w:val="16"/>
                <w:szCs w:val="16"/>
                <w:lang w:val="es-CR" w:eastAsia="es-CR"/>
              </w:rPr>
            </w:pPr>
            <w:r w:rsidRPr="00E45CAD">
              <w:rPr>
                <w:rFonts w:ascii="Arial" w:hAnsi="Arial" w:cs="Arial"/>
                <w:b/>
                <w:bCs/>
                <w:color w:val="000000"/>
                <w:sz w:val="16"/>
                <w:szCs w:val="16"/>
                <w:lang w:val="es-CR" w:eastAsia="es-CR"/>
              </w:rPr>
              <w:t>Auditoría Externa 2016</w:t>
            </w:r>
          </w:p>
        </w:tc>
        <w:tc>
          <w:tcPr>
            <w:tcW w:w="1275" w:type="dxa"/>
            <w:vMerge w:val="restart"/>
            <w:tcBorders>
              <w:top w:val="single" w:sz="4" w:space="0" w:color="auto"/>
              <w:left w:val="single" w:sz="4" w:space="0" w:color="auto"/>
              <w:right w:val="single" w:sz="4" w:space="0" w:color="auto"/>
            </w:tcBorders>
            <w:vAlign w:val="center"/>
          </w:tcPr>
          <w:p w:rsidR="00E45CAD" w:rsidRPr="00E45CAD" w:rsidRDefault="00E45CAD" w:rsidP="00E45CAD">
            <w:pPr>
              <w:jc w:val="center"/>
              <w:rPr>
                <w:rFonts w:ascii="Arial" w:hAnsi="Arial" w:cs="Arial"/>
                <w:color w:val="000000"/>
                <w:sz w:val="16"/>
                <w:szCs w:val="16"/>
                <w:lang w:val="es-CR" w:eastAsia="es-CR"/>
              </w:rPr>
            </w:pPr>
            <w:r w:rsidRPr="00E45CAD">
              <w:rPr>
                <w:rFonts w:ascii="Arial" w:hAnsi="Arial" w:cs="Arial"/>
                <w:b/>
                <w:bCs/>
                <w:color w:val="000000"/>
                <w:sz w:val="16"/>
                <w:szCs w:val="16"/>
                <w:lang w:val="es-CR" w:eastAsia="es-CR"/>
              </w:rPr>
              <w:t>Hallazgo 11</w:t>
            </w:r>
            <w:r w:rsidRPr="00E45CAD">
              <w:rPr>
                <w:rFonts w:ascii="Arial" w:hAnsi="Arial" w:cs="Arial"/>
                <w:color w:val="000000"/>
                <w:sz w:val="16"/>
                <w:szCs w:val="16"/>
                <w:lang w:val="es-CR" w:eastAsia="es-CR"/>
              </w:rPr>
              <w:t>. Debilidades en el Sistema de Control Interno de la Sede Regional San Carlos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CAD" w:rsidRPr="00E45CAD" w:rsidRDefault="00E45CAD" w:rsidP="00E45CAD">
            <w:pPr>
              <w:jc w:val="both"/>
              <w:rPr>
                <w:rFonts w:ascii="Arial" w:hAnsi="Arial" w:cs="Arial"/>
                <w:sz w:val="16"/>
                <w:szCs w:val="16"/>
                <w:lang w:val="es-CR" w:eastAsia="es-CR"/>
              </w:rPr>
            </w:pPr>
            <w:r w:rsidRPr="00E45CAD">
              <w:rPr>
                <w:rFonts w:ascii="Arial" w:hAnsi="Arial" w:cs="Arial"/>
                <w:sz w:val="16"/>
                <w:szCs w:val="16"/>
                <w:lang w:val="es-CR" w:eastAsia="es-CR"/>
              </w:rPr>
              <w:t>1. Solicitar a la Vicerrectoría de Administración por medio del Departamento de Recursos Humanos realizar un estudio de cargas de trabajo y asignación de funciones de la Unidad de Gestión Financiera y Administración de Bienes.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CAD" w:rsidRPr="00E45CAD" w:rsidRDefault="00E45CAD" w:rsidP="00E45CAD">
            <w:pPr>
              <w:jc w:val="center"/>
              <w:rPr>
                <w:rFonts w:ascii="Arial" w:hAnsi="Arial" w:cs="Arial"/>
                <w:color w:val="000000"/>
                <w:sz w:val="16"/>
                <w:szCs w:val="16"/>
                <w:lang w:val="es-CR" w:eastAsia="es-CR"/>
              </w:rPr>
            </w:pPr>
            <w:r w:rsidRPr="00E45CAD">
              <w:rPr>
                <w:rFonts w:ascii="Arial" w:hAnsi="Arial" w:cs="Arial"/>
                <w:color w:val="000000"/>
                <w:sz w:val="16"/>
                <w:szCs w:val="16"/>
                <w:lang w:val="es-CR" w:eastAsia="es-CR"/>
              </w:rPr>
              <w:t>30/07/2018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CAD" w:rsidRPr="00E45CAD" w:rsidRDefault="00E45CAD" w:rsidP="00E45CAD">
            <w:pPr>
              <w:jc w:val="both"/>
              <w:rPr>
                <w:rFonts w:ascii="Arial" w:hAnsi="Arial" w:cs="Arial"/>
                <w:color w:val="000000"/>
                <w:sz w:val="16"/>
                <w:szCs w:val="16"/>
                <w:lang w:val="es-CR" w:eastAsia="es-CR"/>
              </w:rPr>
            </w:pPr>
            <w:r w:rsidRPr="00E45CAD">
              <w:rPr>
                <w:rFonts w:ascii="Arial" w:hAnsi="Arial" w:cs="Arial"/>
                <w:color w:val="000000"/>
                <w:sz w:val="16"/>
                <w:szCs w:val="16"/>
                <w:lang w:val="es-CR" w:eastAsia="es-CR"/>
              </w:rPr>
              <w:t>Estudio de cargas de trabajo.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CAD" w:rsidRPr="00E45CAD" w:rsidRDefault="00E45CAD" w:rsidP="00E45CAD">
            <w:pPr>
              <w:jc w:val="both"/>
              <w:rPr>
                <w:rFonts w:ascii="Arial" w:hAnsi="Arial" w:cs="Arial"/>
                <w:color w:val="000000"/>
                <w:sz w:val="16"/>
                <w:szCs w:val="16"/>
                <w:lang w:val="es-CR" w:eastAsia="es-CR"/>
              </w:rPr>
            </w:pPr>
            <w:r w:rsidRPr="00E45CAD">
              <w:rPr>
                <w:rFonts w:ascii="Arial" w:hAnsi="Arial" w:cs="Arial"/>
                <w:color w:val="000000"/>
                <w:sz w:val="16"/>
                <w:szCs w:val="16"/>
                <w:lang w:val="es-CR" w:eastAsia="es-CR"/>
              </w:rPr>
              <w:t>Mildred Zuñiga y Nelson Ortega.</w:t>
            </w:r>
          </w:p>
        </w:tc>
      </w:tr>
      <w:tr w:rsidR="00E45CAD" w:rsidRPr="00E45CAD" w:rsidTr="00FA5A57">
        <w:trPr>
          <w:trHeight w:val="612"/>
        </w:trPr>
        <w:tc>
          <w:tcPr>
            <w:tcW w:w="1135" w:type="dxa"/>
            <w:vMerge/>
            <w:tcBorders>
              <w:left w:val="single" w:sz="4" w:space="0" w:color="auto"/>
              <w:bottom w:val="single" w:sz="4" w:space="0" w:color="auto"/>
              <w:right w:val="single" w:sz="4" w:space="0" w:color="auto"/>
            </w:tcBorders>
          </w:tcPr>
          <w:p w:rsidR="00E45CAD" w:rsidRPr="00E45CAD" w:rsidRDefault="00E45CAD" w:rsidP="00E45CAD">
            <w:pPr>
              <w:jc w:val="both"/>
              <w:rPr>
                <w:rFonts w:ascii="Arial" w:hAnsi="Arial" w:cs="Arial"/>
                <w:sz w:val="16"/>
                <w:szCs w:val="16"/>
                <w:lang w:val="es-CR" w:eastAsia="es-CR"/>
              </w:rPr>
            </w:pPr>
          </w:p>
        </w:tc>
        <w:tc>
          <w:tcPr>
            <w:tcW w:w="1275" w:type="dxa"/>
            <w:vMerge/>
            <w:tcBorders>
              <w:left w:val="single" w:sz="4" w:space="0" w:color="auto"/>
              <w:bottom w:val="single" w:sz="4" w:space="0" w:color="auto"/>
              <w:right w:val="single" w:sz="4" w:space="0" w:color="auto"/>
            </w:tcBorders>
          </w:tcPr>
          <w:p w:rsidR="00E45CAD" w:rsidRPr="00E45CAD" w:rsidRDefault="00E45CAD" w:rsidP="00E45CAD">
            <w:pPr>
              <w:jc w:val="both"/>
              <w:rPr>
                <w:rFonts w:ascii="Arial" w:hAnsi="Arial" w:cs="Arial"/>
                <w:sz w:val="16"/>
                <w:szCs w:val="16"/>
                <w:lang w:val="es-CR" w:eastAsia="es-CR"/>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E45CAD" w:rsidRPr="00E45CAD" w:rsidRDefault="00E45CAD" w:rsidP="00E45CAD">
            <w:pPr>
              <w:jc w:val="both"/>
              <w:rPr>
                <w:rFonts w:ascii="Arial" w:hAnsi="Arial" w:cs="Arial"/>
                <w:sz w:val="16"/>
                <w:szCs w:val="16"/>
                <w:lang w:val="es-CR" w:eastAsia="es-CR"/>
              </w:rPr>
            </w:pPr>
            <w:r w:rsidRPr="00E45CAD">
              <w:rPr>
                <w:rFonts w:ascii="Arial" w:hAnsi="Arial" w:cs="Arial"/>
                <w:sz w:val="16"/>
                <w:szCs w:val="16"/>
                <w:lang w:val="es-CR" w:eastAsia="es-CR"/>
              </w:rPr>
              <w:t>2. Solicitar a la Vicerrectoría de Administración realizar un estudio de revisión de procedimientos y de los procesos actuales.</w:t>
            </w:r>
          </w:p>
        </w:tc>
        <w:tc>
          <w:tcPr>
            <w:tcW w:w="1134" w:type="dxa"/>
            <w:tcBorders>
              <w:top w:val="nil"/>
              <w:left w:val="nil"/>
              <w:bottom w:val="single" w:sz="4" w:space="0" w:color="auto"/>
              <w:right w:val="single" w:sz="4" w:space="0" w:color="auto"/>
            </w:tcBorders>
            <w:shd w:val="clear" w:color="auto" w:fill="auto"/>
            <w:vAlign w:val="center"/>
            <w:hideMark/>
          </w:tcPr>
          <w:p w:rsidR="00E45CAD" w:rsidRPr="00E45CAD" w:rsidRDefault="00E45CAD" w:rsidP="00E45CAD">
            <w:pPr>
              <w:jc w:val="center"/>
              <w:rPr>
                <w:rFonts w:ascii="Arial" w:hAnsi="Arial" w:cs="Arial"/>
                <w:color w:val="000000"/>
                <w:sz w:val="16"/>
                <w:szCs w:val="16"/>
                <w:lang w:val="es-CR" w:eastAsia="es-CR"/>
              </w:rPr>
            </w:pPr>
            <w:r w:rsidRPr="00E45CAD">
              <w:rPr>
                <w:rFonts w:ascii="Arial" w:hAnsi="Arial" w:cs="Arial"/>
                <w:color w:val="000000"/>
                <w:sz w:val="16"/>
                <w:szCs w:val="16"/>
                <w:lang w:val="es-CR" w:eastAsia="es-CR"/>
              </w:rPr>
              <w:t>30/07/2018</w:t>
            </w:r>
          </w:p>
        </w:tc>
        <w:tc>
          <w:tcPr>
            <w:tcW w:w="2410" w:type="dxa"/>
            <w:tcBorders>
              <w:top w:val="nil"/>
              <w:left w:val="nil"/>
              <w:bottom w:val="single" w:sz="4" w:space="0" w:color="auto"/>
              <w:right w:val="single" w:sz="4" w:space="0" w:color="auto"/>
            </w:tcBorders>
            <w:shd w:val="clear" w:color="auto" w:fill="auto"/>
            <w:vAlign w:val="center"/>
            <w:hideMark/>
          </w:tcPr>
          <w:p w:rsidR="00E45CAD" w:rsidRPr="00E45CAD" w:rsidRDefault="00E45CAD" w:rsidP="00E45CAD">
            <w:pPr>
              <w:jc w:val="both"/>
              <w:rPr>
                <w:rFonts w:ascii="Arial" w:hAnsi="Arial" w:cs="Arial"/>
                <w:color w:val="000000"/>
                <w:sz w:val="16"/>
                <w:szCs w:val="16"/>
                <w:lang w:val="es-CR" w:eastAsia="es-CR"/>
              </w:rPr>
            </w:pPr>
            <w:r w:rsidRPr="00E45CAD">
              <w:rPr>
                <w:rFonts w:ascii="Arial" w:hAnsi="Arial" w:cs="Arial"/>
                <w:color w:val="000000"/>
                <w:sz w:val="16"/>
                <w:szCs w:val="16"/>
                <w:lang w:val="es-CR" w:eastAsia="es-CR"/>
              </w:rPr>
              <w:t>Estudio de procedimientos y procesos.</w:t>
            </w:r>
          </w:p>
        </w:tc>
        <w:tc>
          <w:tcPr>
            <w:tcW w:w="1417" w:type="dxa"/>
            <w:tcBorders>
              <w:top w:val="nil"/>
              <w:left w:val="nil"/>
              <w:bottom w:val="single" w:sz="4" w:space="0" w:color="auto"/>
              <w:right w:val="single" w:sz="8" w:space="0" w:color="auto"/>
            </w:tcBorders>
            <w:shd w:val="clear" w:color="auto" w:fill="auto"/>
            <w:vAlign w:val="center"/>
            <w:hideMark/>
          </w:tcPr>
          <w:p w:rsidR="00E45CAD" w:rsidRPr="00E45CAD" w:rsidRDefault="00E45CAD" w:rsidP="00E45CAD">
            <w:pPr>
              <w:jc w:val="both"/>
              <w:rPr>
                <w:rFonts w:ascii="Arial" w:hAnsi="Arial" w:cs="Arial"/>
                <w:color w:val="000000"/>
                <w:sz w:val="16"/>
                <w:szCs w:val="16"/>
                <w:lang w:val="es-CR" w:eastAsia="es-CR"/>
              </w:rPr>
            </w:pPr>
            <w:r w:rsidRPr="00E45CAD">
              <w:rPr>
                <w:rFonts w:ascii="Arial" w:hAnsi="Arial" w:cs="Arial"/>
                <w:color w:val="000000"/>
                <w:sz w:val="16"/>
                <w:szCs w:val="16"/>
                <w:lang w:val="es-CR" w:eastAsia="es-CR"/>
              </w:rPr>
              <w:t>Mildred Zuñiga y Ronald Bonilla.</w:t>
            </w:r>
          </w:p>
        </w:tc>
      </w:tr>
    </w:tbl>
    <w:p w:rsidR="00E45CAD" w:rsidRPr="00E45CAD" w:rsidRDefault="00E45CAD" w:rsidP="00E45CAD">
      <w:pPr>
        <w:jc w:val="both"/>
        <w:rPr>
          <w:rFonts w:ascii="Arial" w:hAnsi="Arial" w:cs="Arial"/>
          <w:sz w:val="16"/>
          <w:szCs w:val="16"/>
          <w:lang w:val="es-CR"/>
        </w:rPr>
      </w:pPr>
    </w:p>
    <w:p w:rsidR="00E45CAD" w:rsidRPr="00E45CAD" w:rsidRDefault="00E45CAD" w:rsidP="00E45CAD">
      <w:pPr>
        <w:jc w:val="both"/>
        <w:rPr>
          <w:rFonts w:ascii="Arial" w:hAnsi="Arial" w:cs="Arial"/>
          <w:sz w:val="22"/>
          <w:szCs w:val="22"/>
          <w:lang w:val="es-CR"/>
        </w:rPr>
      </w:pPr>
      <w:r w:rsidRPr="00E45CAD">
        <w:rPr>
          <w:rFonts w:ascii="Arial" w:hAnsi="Arial" w:cs="Arial"/>
          <w:sz w:val="22"/>
          <w:szCs w:val="22"/>
          <w:lang w:val="es-CR"/>
        </w:rPr>
        <w:t>…”</w:t>
      </w:r>
    </w:p>
    <w:p w:rsidR="00E45CAD" w:rsidRPr="00E45CAD" w:rsidRDefault="00E45CAD" w:rsidP="00E45CAD">
      <w:pPr>
        <w:jc w:val="both"/>
        <w:rPr>
          <w:rFonts w:ascii="Arial" w:hAnsi="Arial" w:cs="Arial"/>
          <w:sz w:val="16"/>
          <w:szCs w:val="16"/>
          <w:lang w:val="es-CR"/>
        </w:rPr>
      </w:pPr>
    </w:p>
    <w:p w:rsidR="00E45CAD" w:rsidRPr="00E45CAD" w:rsidRDefault="00E45CAD" w:rsidP="00E45CAD">
      <w:pPr>
        <w:jc w:val="both"/>
        <w:outlineLvl w:val="0"/>
        <w:rPr>
          <w:rFonts w:ascii="Arial" w:hAnsi="Arial" w:cs="Arial"/>
          <w:b/>
          <w:lang w:val="es-CR"/>
        </w:rPr>
      </w:pPr>
      <w:r w:rsidRPr="00E45CAD">
        <w:rPr>
          <w:rFonts w:ascii="Arial" w:hAnsi="Arial" w:cs="Arial"/>
          <w:b/>
          <w:lang w:val="es-CR"/>
        </w:rPr>
        <w:lastRenderedPageBreak/>
        <w:t>CONSIDERANDO QUE:</w:t>
      </w:r>
    </w:p>
    <w:p w:rsidR="00E45CAD" w:rsidRPr="00E45CAD" w:rsidRDefault="00E45CAD" w:rsidP="00E45CAD">
      <w:pPr>
        <w:jc w:val="both"/>
        <w:rPr>
          <w:rFonts w:ascii="Arial" w:hAnsi="Arial" w:cs="Arial"/>
          <w:sz w:val="16"/>
          <w:szCs w:val="16"/>
          <w:lang w:val="es-CR"/>
        </w:rPr>
      </w:pPr>
    </w:p>
    <w:p w:rsidR="00E45CAD" w:rsidRPr="00E45CAD" w:rsidRDefault="00E45CAD" w:rsidP="00E45CAD">
      <w:pPr>
        <w:numPr>
          <w:ilvl w:val="0"/>
          <w:numId w:val="48"/>
        </w:numPr>
        <w:jc w:val="both"/>
        <w:rPr>
          <w:rFonts w:ascii="Arial" w:hAnsi="Arial" w:cs="Arial"/>
          <w:sz w:val="22"/>
          <w:szCs w:val="22"/>
          <w:lang w:val="es-CR"/>
        </w:rPr>
      </w:pPr>
      <w:r w:rsidRPr="00E45CAD">
        <w:rPr>
          <w:rFonts w:ascii="Arial" w:hAnsi="Arial" w:cs="Arial"/>
          <w:lang w:val="es-CR"/>
        </w:rPr>
        <w:t xml:space="preserve">La Secretaría del Consejo Institucional recibió Formulario de Solicitud de Prórroga, con fecha de recibido 12 de junio de 2018, suscrito por el MAE. Harold Blanco Leitón, Director del Departamento de Recursos Humanos, dirigido al Consejo Institucional, en el cual solicita una ampliación del plazo al 30 de marzo de </w:t>
      </w:r>
      <w:proofErr w:type="gramStart"/>
      <w:r w:rsidRPr="00E45CAD">
        <w:rPr>
          <w:rFonts w:ascii="Arial" w:hAnsi="Arial" w:cs="Arial"/>
          <w:lang w:val="es-CR"/>
        </w:rPr>
        <w:t>2019,  para</w:t>
      </w:r>
      <w:proofErr w:type="gramEnd"/>
      <w:r w:rsidRPr="00E45CAD">
        <w:rPr>
          <w:rFonts w:ascii="Arial" w:hAnsi="Arial" w:cs="Arial"/>
          <w:lang w:val="es-CR"/>
        </w:rPr>
        <w:t xml:space="preserve"> atender  el Hallazgo 11, Acción a Desarrollar No. 1, para la entrega del Estudio de Cargas de Trabajo, establecidas en el </w:t>
      </w:r>
      <w:r w:rsidRPr="00E45CAD">
        <w:rPr>
          <w:rFonts w:ascii="Arial" w:hAnsi="Arial" w:cs="Arial"/>
        </w:rPr>
        <w:t xml:space="preserve">“Plan de acción de las auditorías externas: Calidad de la liquidación presupuestaria 2016 y sobre los estados financieros al 31 de diciembre del 2016”, </w:t>
      </w:r>
      <w:r w:rsidRPr="00E45CAD">
        <w:rPr>
          <w:rFonts w:ascii="Arial" w:hAnsi="Arial" w:cs="Arial"/>
          <w:lang w:val="es-CR"/>
        </w:rPr>
        <w:t>según la siguiente justificación:</w:t>
      </w:r>
    </w:p>
    <w:p w:rsidR="00E45CAD" w:rsidRPr="00E45CAD" w:rsidRDefault="00E45CAD" w:rsidP="00E45CAD">
      <w:pPr>
        <w:jc w:val="both"/>
        <w:rPr>
          <w:rFonts w:ascii="Arial" w:hAnsi="Arial" w:cs="Arial"/>
          <w:sz w:val="22"/>
          <w:szCs w:val="22"/>
          <w:lang w:val="es-CR"/>
        </w:rPr>
      </w:pPr>
    </w:p>
    <w:p w:rsidR="00E45CAD" w:rsidRPr="00E45CAD" w:rsidRDefault="00E45CAD" w:rsidP="00E45CAD">
      <w:pPr>
        <w:ind w:left="709" w:right="425"/>
        <w:jc w:val="both"/>
        <w:rPr>
          <w:rFonts w:ascii="Arial" w:hAnsi="Arial" w:cs="Arial"/>
          <w:i/>
          <w:color w:val="000000"/>
          <w:sz w:val="22"/>
          <w:szCs w:val="22"/>
          <w:lang w:val="es-CR" w:eastAsia="es-CR"/>
        </w:rPr>
      </w:pPr>
      <w:r w:rsidRPr="00E45CAD">
        <w:rPr>
          <w:rFonts w:ascii="Arial" w:hAnsi="Arial" w:cs="Arial"/>
          <w:i/>
          <w:color w:val="000000"/>
          <w:sz w:val="22"/>
          <w:szCs w:val="22"/>
          <w:lang w:val="es-CR" w:eastAsia="es-CR"/>
        </w:rPr>
        <w:t>“El estudio de cargas de trabajo, requiere la realización de un análisis del método de trabajo empleado en la Unidad sujeta de estudio, mismo que está sujeto a la finalización del estudio de revisión de procedimientos ordenado para el Hallazgo 11 del acuerdo citado y para el cual se le estableció la misma fecha de finalización.</w:t>
      </w:r>
    </w:p>
    <w:p w:rsidR="00E45CAD" w:rsidRPr="00E45CAD" w:rsidRDefault="00E45CAD" w:rsidP="00E45CAD">
      <w:pPr>
        <w:ind w:left="709" w:right="425"/>
        <w:jc w:val="both"/>
        <w:rPr>
          <w:rFonts w:ascii="Arial" w:hAnsi="Arial" w:cs="Arial"/>
          <w:i/>
          <w:color w:val="000000"/>
          <w:sz w:val="22"/>
          <w:szCs w:val="22"/>
          <w:lang w:val="es-CR" w:eastAsia="es-CR"/>
        </w:rPr>
      </w:pPr>
      <w:r w:rsidRPr="00E45CAD">
        <w:rPr>
          <w:rFonts w:ascii="Arial" w:hAnsi="Arial" w:cs="Arial"/>
          <w:i/>
          <w:color w:val="000000"/>
          <w:sz w:val="22"/>
          <w:szCs w:val="22"/>
          <w:lang w:val="es-CR" w:eastAsia="es-CR"/>
        </w:rPr>
        <w:t>Según se ha indicado por los compañeros responsables de la revisión de procedimientos y procesos actuales, se estaría finalizando el estudio en el mes de agosto, por lo que será imposible realizar la recopilación de información y análisis antes de la fecha estimada.”</w:t>
      </w:r>
    </w:p>
    <w:p w:rsidR="00E45CAD" w:rsidRPr="00E45CAD" w:rsidRDefault="00E45CAD" w:rsidP="00E45CAD">
      <w:pPr>
        <w:jc w:val="both"/>
        <w:rPr>
          <w:rFonts w:ascii="Arial" w:hAnsi="Arial" w:cs="Arial"/>
          <w:sz w:val="22"/>
          <w:szCs w:val="22"/>
          <w:lang w:val="es-CR"/>
        </w:rPr>
      </w:pPr>
    </w:p>
    <w:p w:rsidR="00E45CAD" w:rsidRPr="00E45CAD" w:rsidRDefault="00E45CAD" w:rsidP="00E45CAD">
      <w:pPr>
        <w:numPr>
          <w:ilvl w:val="0"/>
          <w:numId w:val="48"/>
        </w:numPr>
        <w:jc w:val="both"/>
        <w:rPr>
          <w:rFonts w:ascii="Arial" w:hAnsi="Arial" w:cs="Arial"/>
          <w:lang w:val="es-CR"/>
        </w:rPr>
      </w:pPr>
      <w:r w:rsidRPr="00E45CAD">
        <w:rPr>
          <w:rFonts w:ascii="Arial" w:hAnsi="Arial" w:cs="Arial"/>
          <w:lang w:val="es-CR"/>
        </w:rPr>
        <w:t xml:space="preserve">La Comisión de Planificación y Administración, en la reunión No. 777-2018, realizada el jueves 19 de julio de 2018, revisó la solicitud de prórroga planteada por el MAE. Harold Blanco Leitón, Director del Departamento de Recursos Humanos y verificó que este trámite está en función del cumplimiento de la Sede Regional de San Carlos, motivo por el cual se solicita a la instancia correspondiente tramitar la ampliación y se le llama a tomar medidas en futuros planes remediales, se </w:t>
      </w:r>
      <w:r w:rsidRPr="00E45CAD">
        <w:rPr>
          <w:rFonts w:ascii="Arial" w:hAnsi="Arial" w:cs="Arial"/>
          <w:lang w:val="es-ES_tradnl"/>
        </w:rPr>
        <w:t>dispone elevar al Consejo Institucional la propuesta,</w:t>
      </w:r>
      <w:r w:rsidRPr="00E45CAD">
        <w:rPr>
          <w:rFonts w:ascii="Arial" w:hAnsi="Arial" w:cs="Arial"/>
          <w:lang w:val="es-CR"/>
        </w:rPr>
        <w:t xml:space="preserve"> una vez recibido el formulario correspondiente.</w:t>
      </w:r>
    </w:p>
    <w:p w:rsidR="00E45CAD" w:rsidRPr="00E45CAD" w:rsidRDefault="00E45CAD" w:rsidP="00E45CAD">
      <w:pPr>
        <w:jc w:val="both"/>
        <w:rPr>
          <w:rFonts w:ascii="Arial" w:hAnsi="Arial" w:cs="Arial"/>
          <w:lang w:val="es-CR"/>
        </w:rPr>
      </w:pPr>
    </w:p>
    <w:p w:rsidR="00E45CAD" w:rsidRPr="00E45CAD" w:rsidRDefault="00E45CAD" w:rsidP="00E45CAD">
      <w:pPr>
        <w:numPr>
          <w:ilvl w:val="0"/>
          <w:numId w:val="48"/>
        </w:numPr>
        <w:jc w:val="both"/>
        <w:rPr>
          <w:rFonts w:ascii="Arial" w:hAnsi="Arial" w:cs="Arial"/>
          <w:sz w:val="22"/>
          <w:szCs w:val="22"/>
          <w:lang w:val="es-CR"/>
        </w:rPr>
      </w:pPr>
      <w:r w:rsidRPr="00E45CAD">
        <w:rPr>
          <w:rFonts w:ascii="Arial" w:hAnsi="Arial" w:cs="Arial"/>
          <w:lang w:val="es-CR"/>
        </w:rPr>
        <w:t>Se recibe el Formulario de Solicitud de Prórroga, suscrito por el Dr. Humberto Villalta Solano, Vicerrector de Administración, dirigido al Consejo Institucional, en el cual solicita una ampliación del plazo al 31 de diciembre de 2018, para atender el Hallazgo 11, Acción a Desarrollar No. 2, para la entrega del Estudio de procedimientos y procesos, según la siguiente justificación:</w:t>
      </w:r>
    </w:p>
    <w:p w:rsidR="00E45CAD" w:rsidRPr="00E45CAD" w:rsidRDefault="00E45CAD" w:rsidP="00E45CAD">
      <w:pPr>
        <w:ind w:left="708"/>
        <w:rPr>
          <w:rFonts w:ascii="Arial" w:hAnsi="Arial" w:cs="Arial"/>
          <w:sz w:val="22"/>
          <w:szCs w:val="22"/>
          <w:lang w:val="es-CR"/>
        </w:rPr>
      </w:pPr>
    </w:p>
    <w:p w:rsidR="00E45CAD" w:rsidRPr="00E45CAD" w:rsidRDefault="00E45CAD" w:rsidP="00E45CAD">
      <w:pPr>
        <w:ind w:left="709" w:right="425"/>
        <w:jc w:val="both"/>
        <w:rPr>
          <w:rFonts w:ascii="Arial" w:hAnsi="Arial" w:cs="Arial"/>
          <w:i/>
          <w:color w:val="000000"/>
          <w:sz w:val="22"/>
          <w:szCs w:val="22"/>
          <w:lang w:val="es-CR" w:eastAsia="es-CR"/>
        </w:rPr>
      </w:pPr>
      <w:r w:rsidRPr="00E45CAD">
        <w:rPr>
          <w:rFonts w:ascii="Arial" w:hAnsi="Arial" w:cs="Arial"/>
          <w:i/>
          <w:color w:val="000000"/>
          <w:sz w:val="22"/>
          <w:szCs w:val="22"/>
          <w:lang w:val="es-CR" w:eastAsia="es-CR"/>
        </w:rPr>
        <w:t>“La realización del estudio de revisión de procedimientos y de los procesos actuales de la Sede Regional de San Carlos, se encuentra dentro del cronograma de trabajo de implementación de las NICSP. No obstante, el mismo se ha retrasado, dado que la sede no cuenta con recursos en contra parte que apoye al equipo de Cartago; por otro lado, el director del área (Arturo Carvajal), se ha dedicado a ordenar los pendientes producto de su pensión en el mes de julio.</w:t>
      </w:r>
    </w:p>
    <w:p w:rsidR="00E45CAD" w:rsidRPr="00E45CAD" w:rsidRDefault="00E45CAD" w:rsidP="00E45CAD">
      <w:pPr>
        <w:ind w:left="709" w:right="425"/>
        <w:jc w:val="both"/>
        <w:rPr>
          <w:rFonts w:ascii="Arial" w:hAnsi="Arial" w:cs="Arial"/>
          <w:i/>
          <w:color w:val="000000"/>
          <w:sz w:val="22"/>
          <w:szCs w:val="22"/>
          <w:lang w:val="es-CR" w:eastAsia="es-CR"/>
        </w:rPr>
      </w:pPr>
      <w:r w:rsidRPr="00E45CAD">
        <w:rPr>
          <w:rFonts w:ascii="Arial" w:hAnsi="Arial" w:cs="Arial"/>
          <w:i/>
          <w:color w:val="000000"/>
          <w:sz w:val="22"/>
          <w:szCs w:val="22"/>
          <w:lang w:val="es-CR" w:eastAsia="es-CR"/>
        </w:rPr>
        <w:t>Por tanto, se solicita una prórroga a 31 de diciembre, para contar con la aprobación del procedimiento señalado.”</w:t>
      </w:r>
    </w:p>
    <w:p w:rsidR="00E45CAD" w:rsidRPr="00E45CAD" w:rsidRDefault="00E45CAD" w:rsidP="00E45CAD">
      <w:pPr>
        <w:ind w:left="708"/>
        <w:rPr>
          <w:rFonts w:ascii="Arial" w:hAnsi="Arial" w:cs="Arial"/>
          <w:sz w:val="16"/>
          <w:szCs w:val="16"/>
          <w:lang w:val="es-CR"/>
        </w:rPr>
      </w:pPr>
    </w:p>
    <w:p w:rsidR="00E45CAD" w:rsidRPr="00E45CAD" w:rsidRDefault="00E45CAD" w:rsidP="00E45CAD">
      <w:pPr>
        <w:jc w:val="both"/>
        <w:rPr>
          <w:rFonts w:ascii="Arial" w:hAnsi="Arial" w:cs="Arial"/>
          <w:lang w:val="es-CR"/>
        </w:rPr>
      </w:pPr>
      <w:r w:rsidRPr="00E45CAD">
        <w:rPr>
          <w:rFonts w:ascii="Arial" w:hAnsi="Arial" w:cs="Arial"/>
          <w:b/>
          <w:lang w:val="es-CR"/>
        </w:rPr>
        <w:t>SE</w:t>
      </w:r>
      <w:r>
        <w:rPr>
          <w:rFonts w:ascii="Arial" w:hAnsi="Arial" w:cs="Arial"/>
          <w:b/>
          <w:lang w:val="es-CR"/>
        </w:rPr>
        <w:t xml:space="preserve"> ACUERDA</w:t>
      </w:r>
      <w:r w:rsidRPr="00E45CAD">
        <w:rPr>
          <w:rFonts w:ascii="Arial" w:hAnsi="Arial" w:cs="Arial"/>
          <w:b/>
          <w:lang w:val="es-CR"/>
        </w:rPr>
        <w:t>:</w:t>
      </w:r>
    </w:p>
    <w:p w:rsidR="00E45CAD" w:rsidRPr="00E45CAD" w:rsidRDefault="00E45CAD" w:rsidP="00E45CAD">
      <w:pPr>
        <w:jc w:val="both"/>
        <w:rPr>
          <w:rFonts w:ascii="Arial" w:hAnsi="Arial" w:cs="Arial"/>
          <w:sz w:val="16"/>
          <w:szCs w:val="16"/>
          <w:lang w:val="es-ES_tradnl"/>
        </w:rPr>
      </w:pPr>
    </w:p>
    <w:p w:rsidR="00E45CAD" w:rsidRDefault="00E45CAD" w:rsidP="00E45CAD">
      <w:pPr>
        <w:numPr>
          <w:ilvl w:val="0"/>
          <w:numId w:val="47"/>
        </w:numPr>
        <w:ind w:left="322"/>
        <w:jc w:val="both"/>
        <w:rPr>
          <w:rFonts w:ascii="Arial" w:hAnsi="Arial" w:cs="Arial"/>
          <w:lang w:val="es-ES_tradnl"/>
        </w:rPr>
      </w:pPr>
      <w:r w:rsidRPr="00E45CAD">
        <w:rPr>
          <w:rFonts w:ascii="Arial" w:hAnsi="Arial" w:cs="Arial"/>
          <w:lang w:val="es-ES_tradnl"/>
        </w:rPr>
        <w:t xml:space="preserve">Ampliar el plazo </w:t>
      </w:r>
      <w:proofErr w:type="gramStart"/>
      <w:r w:rsidRPr="00E45CAD">
        <w:rPr>
          <w:rFonts w:ascii="Arial" w:hAnsi="Arial" w:cs="Arial"/>
          <w:lang w:val="es-ES_tradnl"/>
        </w:rPr>
        <w:t>del  Hallazgo</w:t>
      </w:r>
      <w:proofErr w:type="gramEnd"/>
      <w:r w:rsidRPr="00E45CAD">
        <w:rPr>
          <w:rFonts w:ascii="Arial" w:hAnsi="Arial" w:cs="Arial"/>
          <w:lang w:val="es-ES_tradnl"/>
        </w:rPr>
        <w:t xml:space="preserve"> No. 11, Acciones a Desarrollar  1 y 2 del “</w:t>
      </w:r>
      <w:r w:rsidRPr="00E45CAD">
        <w:rPr>
          <w:rFonts w:ascii="Arial" w:hAnsi="Arial" w:cs="Arial"/>
        </w:rPr>
        <w:t>Plan de acción de las auditorías externas: Calidad de la liquidación presupuestaria 2016 y sobre los estados financieros al 31 de diciembre del 2016</w:t>
      </w:r>
      <w:r w:rsidRPr="00E45CAD">
        <w:rPr>
          <w:rFonts w:ascii="Arial" w:hAnsi="Arial" w:cs="Arial"/>
          <w:lang w:val="es-ES_tradnl"/>
        </w:rPr>
        <w:t xml:space="preserve">, aprobado </w:t>
      </w:r>
      <w:r w:rsidRPr="00E45CAD">
        <w:rPr>
          <w:rFonts w:ascii="Arial" w:hAnsi="Arial" w:cs="Arial"/>
          <w:bCs/>
          <w:lang w:val="es-CR"/>
        </w:rPr>
        <w:t xml:space="preserve">en la </w:t>
      </w:r>
      <w:r w:rsidRPr="00E45CAD">
        <w:rPr>
          <w:rFonts w:ascii="Arial" w:eastAsia="Calibri" w:hAnsi="Arial" w:cs="Arial"/>
          <w:lang w:val="es-CR"/>
        </w:rPr>
        <w:t>Sesión Ordinaria No. 3037, Artículo 14, del 06 de setiembre de 2017</w:t>
      </w:r>
      <w:r w:rsidRPr="00E45CAD">
        <w:rPr>
          <w:rFonts w:ascii="Arial" w:hAnsi="Arial" w:cs="Arial"/>
          <w:lang w:val="es-ES_tradnl"/>
        </w:rPr>
        <w:t>, de la siguiente forma:</w:t>
      </w:r>
    </w:p>
    <w:p w:rsidR="00E45CAD" w:rsidRPr="00E45CAD" w:rsidRDefault="00E45CAD" w:rsidP="00E45CAD">
      <w:pPr>
        <w:jc w:val="both"/>
        <w:rPr>
          <w:rFonts w:ascii="Arial" w:hAnsi="Arial" w:cs="Arial"/>
          <w:lang w:val="es-ES_tradnl"/>
        </w:rPr>
      </w:pPr>
    </w:p>
    <w:p w:rsidR="00E45CAD" w:rsidRPr="00E45CAD" w:rsidRDefault="00E45CAD" w:rsidP="00E45CAD">
      <w:pPr>
        <w:jc w:val="both"/>
        <w:rPr>
          <w:rFonts w:ascii="Arial" w:hAnsi="Arial" w:cs="Arial"/>
          <w:sz w:val="16"/>
          <w:szCs w:val="16"/>
          <w:lang w:val="es-ES_tradnl"/>
        </w:rPr>
      </w:pPr>
    </w:p>
    <w:p w:rsidR="00E45CAD" w:rsidRPr="00E45CAD" w:rsidRDefault="00E45CAD" w:rsidP="00E45CAD">
      <w:pPr>
        <w:autoSpaceDE w:val="0"/>
        <w:autoSpaceDN w:val="0"/>
        <w:ind w:left="426"/>
        <w:jc w:val="both"/>
        <w:rPr>
          <w:rFonts w:ascii="Arial" w:hAnsi="Arial" w:cs="Arial"/>
          <w:bCs/>
          <w:iCs/>
          <w:sz w:val="20"/>
          <w:szCs w:val="20"/>
          <w:lang w:val="es-CR"/>
        </w:rPr>
      </w:pPr>
      <w:r w:rsidRPr="00E45CAD">
        <w:rPr>
          <w:rFonts w:ascii="Arial" w:hAnsi="Arial" w:cs="Arial"/>
          <w:bCs/>
          <w:iCs/>
          <w:sz w:val="20"/>
          <w:szCs w:val="20"/>
          <w:lang w:val="es-CR"/>
        </w:rPr>
        <w:t xml:space="preserve">Hallazgo No.11: </w:t>
      </w:r>
      <w:r w:rsidRPr="00E45CAD">
        <w:rPr>
          <w:rFonts w:ascii="Arial" w:hAnsi="Arial" w:cs="Arial"/>
          <w:color w:val="000000"/>
          <w:sz w:val="16"/>
          <w:szCs w:val="16"/>
          <w:lang w:val="es-CR" w:eastAsia="es-CR"/>
        </w:rPr>
        <w:t>Debilidades en el Sistema de Control Interno de la Sede Regional San Carlos</w:t>
      </w:r>
    </w:p>
    <w:p w:rsidR="00E45CAD" w:rsidRPr="00E45CAD" w:rsidRDefault="00E45CAD" w:rsidP="00E45CAD">
      <w:pPr>
        <w:autoSpaceDE w:val="0"/>
        <w:autoSpaceDN w:val="0"/>
        <w:ind w:left="426"/>
        <w:jc w:val="both"/>
        <w:rPr>
          <w:rFonts w:ascii="Arial" w:hAnsi="Arial" w:cs="Arial"/>
          <w:bCs/>
          <w:iCs/>
          <w:sz w:val="20"/>
          <w:szCs w:val="20"/>
          <w:lang w:val="es-CR"/>
        </w:rPr>
      </w:pPr>
    </w:p>
    <w:tbl>
      <w:tblPr>
        <w:tblW w:w="9923" w:type="dxa"/>
        <w:tblInd w:w="-709" w:type="dxa"/>
        <w:tblLayout w:type="fixed"/>
        <w:tblCellMar>
          <w:left w:w="70" w:type="dxa"/>
          <w:right w:w="70" w:type="dxa"/>
        </w:tblCellMar>
        <w:tblLook w:val="04A0" w:firstRow="1" w:lastRow="0" w:firstColumn="1" w:lastColumn="0" w:noHBand="0" w:noVBand="1"/>
      </w:tblPr>
      <w:tblGrid>
        <w:gridCol w:w="1135"/>
        <w:gridCol w:w="1275"/>
        <w:gridCol w:w="2552"/>
        <w:gridCol w:w="1134"/>
        <w:gridCol w:w="2410"/>
        <w:gridCol w:w="1417"/>
      </w:tblGrid>
      <w:tr w:rsidR="00E45CAD" w:rsidRPr="00E45CAD" w:rsidTr="00FA5A57">
        <w:trPr>
          <w:trHeight w:val="615"/>
          <w:tblHeader/>
        </w:trPr>
        <w:tc>
          <w:tcPr>
            <w:tcW w:w="1135" w:type="dxa"/>
            <w:tcBorders>
              <w:top w:val="single" w:sz="4" w:space="0" w:color="auto"/>
              <w:left w:val="single" w:sz="4" w:space="0" w:color="auto"/>
              <w:bottom w:val="single" w:sz="4" w:space="0" w:color="auto"/>
              <w:right w:val="single" w:sz="4" w:space="0" w:color="auto"/>
            </w:tcBorders>
            <w:shd w:val="clear" w:color="000000" w:fill="BDD6EE"/>
          </w:tcPr>
          <w:p w:rsidR="00E45CAD" w:rsidRPr="00E45CAD" w:rsidRDefault="00E45CAD" w:rsidP="00E45CAD">
            <w:pPr>
              <w:rPr>
                <w:rFonts w:ascii="Arial" w:hAnsi="Arial" w:cs="Arial"/>
                <w:b/>
                <w:bCs/>
                <w:sz w:val="16"/>
                <w:szCs w:val="16"/>
                <w:lang w:val="es-CR" w:eastAsia="es-CR"/>
              </w:rPr>
            </w:pPr>
            <w:r w:rsidRPr="00E45CAD">
              <w:rPr>
                <w:rFonts w:ascii="Arial" w:hAnsi="Arial" w:cs="Arial"/>
                <w:b/>
                <w:bCs/>
                <w:color w:val="000000"/>
                <w:sz w:val="16"/>
                <w:szCs w:val="16"/>
                <w:lang w:val="es-CR" w:eastAsia="es-CR"/>
              </w:rPr>
              <w:t>Auditoría Externa Núm.</w:t>
            </w:r>
          </w:p>
        </w:tc>
        <w:tc>
          <w:tcPr>
            <w:tcW w:w="1275" w:type="dxa"/>
            <w:tcBorders>
              <w:top w:val="single" w:sz="4" w:space="0" w:color="auto"/>
              <w:left w:val="single" w:sz="4" w:space="0" w:color="auto"/>
              <w:bottom w:val="single" w:sz="4" w:space="0" w:color="auto"/>
              <w:right w:val="single" w:sz="4" w:space="0" w:color="auto"/>
            </w:tcBorders>
            <w:shd w:val="clear" w:color="000000" w:fill="BDD6EE"/>
          </w:tcPr>
          <w:p w:rsidR="00E45CAD" w:rsidRPr="00E45CAD" w:rsidRDefault="00E45CAD" w:rsidP="00E45CAD">
            <w:pPr>
              <w:rPr>
                <w:rFonts w:ascii="Arial" w:hAnsi="Arial" w:cs="Arial"/>
                <w:b/>
                <w:bCs/>
                <w:color w:val="000000"/>
                <w:sz w:val="16"/>
                <w:szCs w:val="16"/>
                <w:lang w:val="es-CR" w:eastAsia="es-CR"/>
              </w:rPr>
            </w:pPr>
          </w:p>
          <w:p w:rsidR="00E45CAD" w:rsidRPr="00E45CAD" w:rsidRDefault="00E45CAD" w:rsidP="00E45CAD">
            <w:pPr>
              <w:rPr>
                <w:rFonts w:ascii="Arial" w:hAnsi="Arial" w:cs="Arial"/>
                <w:b/>
                <w:bCs/>
                <w:sz w:val="16"/>
                <w:szCs w:val="16"/>
                <w:lang w:val="es-CR" w:eastAsia="es-CR"/>
              </w:rPr>
            </w:pPr>
            <w:r w:rsidRPr="00E45CAD">
              <w:rPr>
                <w:rFonts w:ascii="Arial" w:hAnsi="Arial" w:cs="Arial"/>
                <w:b/>
                <w:bCs/>
                <w:color w:val="000000"/>
                <w:sz w:val="16"/>
                <w:szCs w:val="16"/>
                <w:lang w:val="es-CR" w:eastAsia="es-CR"/>
              </w:rPr>
              <w:t>Hallazgo Núm.</w:t>
            </w:r>
          </w:p>
        </w:tc>
        <w:tc>
          <w:tcPr>
            <w:tcW w:w="2552" w:type="dxa"/>
            <w:tcBorders>
              <w:top w:val="single" w:sz="8" w:space="0" w:color="auto"/>
              <w:left w:val="single" w:sz="4" w:space="0" w:color="auto"/>
              <w:bottom w:val="single" w:sz="4" w:space="0" w:color="auto"/>
              <w:right w:val="single" w:sz="4" w:space="0" w:color="auto"/>
            </w:tcBorders>
            <w:shd w:val="clear" w:color="000000" w:fill="BDD6EE"/>
            <w:vAlign w:val="center"/>
            <w:hideMark/>
          </w:tcPr>
          <w:p w:rsidR="00E45CAD" w:rsidRPr="00E45CAD" w:rsidRDefault="00E45CAD" w:rsidP="00E45CAD">
            <w:pPr>
              <w:rPr>
                <w:rFonts w:ascii="Arial" w:hAnsi="Arial" w:cs="Arial"/>
                <w:b/>
                <w:bCs/>
                <w:sz w:val="16"/>
                <w:szCs w:val="16"/>
                <w:lang w:val="es-CR" w:eastAsia="es-CR"/>
              </w:rPr>
            </w:pPr>
            <w:r w:rsidRPr="00E45CAD">
              <w:rPr>
                <w:rFonts w:ascii="Arial" w:hAnsi="Arial" w:cs="Arial"/>
                <w:b/>
                <w:bCs/>
                <w:sz w:val="16"/>
                <w:szCs w:val="16"/>
                <w:lang w:val="es-CR" w:eastAsia="es-CR"/>
              </w:rPr>
              <w:t>Acciones a desarrollar</w:t>
            </w:r>
          </w:p>
        </w:tc>
        <w:tc>
          <w:tcPr>
            <w:tcW w:w="1134" w:type="dxa"/>
            <w:tcBorders>
              <w:top w:val="single" w:sz="8" w:space="0" w:color="auto"/>
              <w:left w:val="nil"/>
              <w:bottom w:val="single" w:sz="4" w:space="0" w:color="auto"/>
              <w:right w:val="single" w:sz="4" w:space="0" w:color="auto"/>
            </w:tcBorders>
            <w:shd w:val="clear" w:color="000000" w:fill="BDD6EE"/>
            <w:vAlign w:val="center"/>
            <w:hideMark/>
          </w:tcPr>
          <w:p w:rsidR="00E45CAD" w:rsidRPr="00E45CAD" w:rsidRDefault="00E45CAD" w:rsidP="00E45CAD">
            <w:pPr>
              <w:rPr>
                <w:rFonts w:ascii="Arial" w:hAnsi="Arial" w:cs="Arial"/>
                <w:b/>
                <w:bCs/>
                <w:color w:val="000000"/>
                <w:sz w:val="16"/>
                <w:szCs w:val="16"/>
                <w:lang w:val="es-CR" w:eastAsia="es-CR"/>
              </w:rPr>
            </w:pPr>
            <w:r w:rsidRPr="00E45CAD">
              <w:rPr>
                <w:rFonts w:ascii="Arial" w:hAnsi="Arial" w:cs="Arial"/>
                <w:b/>
                <w:bCs/>
                <w:color w:val="000000"/>
                <w:sz w:val="16"/>
                <w:szCs w:val="16"/>
                <w:lang w:val="es-CR" w:eastAsia="es-CR"/>
              </w:rPr>
              <w:t>Fecha de Finalización</w:t>
            </w:r>
          </w:p>
        </w:tc>
        <w:tc>
          <w:tcPr>
            <w:tcW w:w="2410" w:type="dxa"/>
            <w:tcBorders>
              <w:top w:val="single" w:sz="8" w:space="0" w:color="auto"/>
              <w:left w:val="nil"/>
              <w:bottom w:val="single" w:sz="4" w:space="0" w:color="auto"/>
              <w:right w:val="single" w:sz="4" w:space="0" w:color="auto"/>
            </w:tcBorders>
            <w:shd w:val="clear" w:color="000000" w:fill="BDD6EE"/>
            <w:vAlign w:val="center"/>
            <w:hideMark/>
          </w:tcPr>
          <w:p w:rsidR="00E45CAD" w:rsidRPr="00E45CAD" w:rsidRDefault="00E45CAD" w:rsidP="00E45CAD">
            <w:pPr>
              <w:rPr>
                <w:rFonts w:ascii="Arial" w:hAnsi="Arial" w:cs="Arial"/>
                <w:b/>
                <w:bCs/>
                <w:color w:val="000000"/>
                <w:sz w:val="16"/>
                <w:szCs w:val="16"/>
                <w:lang w:val="es-CR" w:eastAsia="es-CR"/>
              </w:rPr>
            </w:pPr>
            <w:r w:rsidRPr="00E45CAD">
              <w:rPr>
                <w:rFonts w:ascii="Arial" w:hAnsi="Arial" w:cs="Arial"/>
                <w:b/>
                <w:bCs/>
                <w:color w:val="000000"/>
                <w:sz w:val="16"/>
                <w:szCs w:val="16"/>
                <w:lang w:val="es-CR" w:eastAsia="es-CR"/>
              </w:rPr>
              <w:t>Producto a obtener</w:t>
            </w:r>
          </w:p>
        </w:tc>
        <w:tc>
          <w:tcPr>
            <w:tcW w:w="1417" w:type="dxa"/>
            <w:tcBorders>
              <w:top w:val="single" w:sz="8" w:space="0" w:color="auto"/>
              <w:left w:val="nil"/>
              <w:bottom w:val="single" w:sz="4" w:space="0" w:color="auto"/>
              <w:right w:val="single" w:sz="8" w:space="0" w:color="auto"/>
            </w:tcBorders>
            <w:shd w:val="clear" w:color="000000" w:fill="BDD6EE"/>
            <w:vAlign w:val="center"/>
            <w:hideMark/>
          </w:tcPr>
          <w:p w:rsidR="00E45CAD" w:rsidRPr="00E45CAD" w:rsidRDefault="00E45CAD" w:rsidP="00E45CAD">
            <w:pPr>
              <w:rPr>
                <w:rFonts w:ascii="Arial" w:hAnsi="Arial" w:cs="Arial"/>
                <w:b/>
                <w:bCs/>
                <w:color w:val="000000"/>
                <w:sz w:val="16"/>
                <w:szCs w:val="16"/>
                <w:lang w:val="es-CR" w:eastAsia="es-CR"/>
              </w:rPr>
            </w:pPr>
            <w:r w:rsidRPr="00E45CAD">
              <w:rPr>
                <w:rFonts w:ascii="Arial" w:hAnsi="Arial" w:cs="Arial"/>
                <w:b/>
                <w:bCs/>
                <w:color w:val="000000"/>
                <w:sz w:val="16"/>
                <w:szCs w:val="16"/>
                <w:lang w:val="es-CR" w:eastAsia="es-CR"/>
              </w:rPr>
              <w:t>Responsable</w:t>
            </w:r>
          </w:p>
        </w:tc>
      </w:tr>
      <w:tr w:rsidR="00E45CAD" w:rsidRPr="00E45CAD" w:rsidTr="00FA5A57">
        <w:trPr>
          <w:trHeight w:val="1125"/>
        </w:trPr>
        <w:tc>
          <w:tcPr>
            <w:tcW w:w="1135" w:type="dxa"/>
            <w:vMerge w:val="restart"/>
            <w:tcBorders>
              <w:top w:val="single" w:sz="4" w:space="0" w:color="auto"/>
              <w:left w:val="single" w:sz="4" w:space="0" w:color="auto"/>
              <w:right w:val="single" w:sz="4" w:space="0" w:color="auto"/>
            </w:tcBorders>
          </w:tcPr>
          <w:p w:rsidR="00E45CAD" w:rsidRPr="00E45CAD" w:rsidRDefault="00E45CAD" w:rsidP="00E45CAD">
            <w:pPr>
              <w:jc w:val="center"/>
              <w:rPr>
                <w:rFonts w:ascii="Arial" w:hAnsi="Arial" w:cs="Arial"/>
                <w:sz w:val="16"/>
                <w:szCs w:val="16"/>
                <w:lang w:val="es-CR" w:eastAsia="es-CR"/>
              </w:rPr>
            </w:pPr>
          </w:p>
          <w:p w:rsidR="00E45CAD" w:rsidRPr="00E45CAD" w:rsidRDefault="00E45CAD" w:rsidP="00E45CAD">
            <w:pPr>
              <w:jc w:val="center"/>
              <w:rPr>
                <w:rFonts w:ascii="Arial" w:hAnsi="Arial" w:cs="Arial"/>
                <w:sz w:val="16"/>
                <w:szCs w:val="16"/>
                <w:lang w:val="es-CR" w:eastAsia="es-CR"/>
              </w:rPr>
            </w:pPr>
          </w:p>
          <w:p w:rsidR="00E45CAD" w:rsidRPr="00E45CAD" w:rsidRDefault="00E45CAD" w:rsidP="00E45CAD">
            <w:pPr>
              <w:jc w:val="center"/>
              <w:rPr>
                <w:rFonts w:ascii="Arial" w:hAnsi="Arial" w:cs="Arial"/>
                <w:sz w:val="16"/>
                <w:szCs w:val="16"/>
                <w:lang w:val="es-CR" w:eastAsia="es-CR"/>
              </w:rPr>
            </w:pPr>
          </w:p>
          <w:p w:rsidR="00E45CAD" w:rsidRPr="00E45CAD" w:rsidRDefault="00E45CAD" w:rsidP="00E45CAD">
            <w:pPr>
              <w:jc w:val="center"/>
              <w:rPr>
                <w:rFonts w:ascii="Arial" w:hAnsi="Arial" w:cs="Arial"/>
                <w:sz w:val="16"/>
                <w:szCs w:val="16"/>
                <w:lang w:val="es-CR" w:eastAsia="es-CR"/>
              </w:rPr>
            </w:pPr>
          </w:p>
          <w:p w:rsidR="00E45CAD" w:rsidRPr="00E45CAD" w:rsidRDefault="00E45CAD" w:rsidP="00E45CAD">
            <w:pPr>
              <w:jc w:val="center"/>
              <w:rPr>
                <w:rFonts w:ascii="Arial" w:hAnsi="Arial" w:cs="Arial"/>
                <w:sz w:val="16"/>
                <w:szCs w:val="16"/>
                <w:lang w:val="es-CR" w:eastAsia="es-CR"/>
              </w:rPr>
            </w:pPr>
          </w:p>
          <w:p w:rsidR="00E45CAD" w:rsidRPr="00E45CAD" w:rsidRDefault="00E45CAD" w:rsidP="00E45CAD">
            <w:pPr>
              <w:jc w:val="center"/>
              <w:rPr>
                <w:rFonts w:ascii="Arial" w:hAnsi="Arial" w:cs="Arial"/>
                <w:sz w:val="16"/>
                <w:szCs w:val="16"/>
                <w:lang w:val="es-CR" w:eastAsia="es-CR"/>
              </w:rPr>
            </w:pPr>
            <w:r w:rsidRPr="00E45CAD">
              <w:rPr>
                <w:rFonts w:ascii="Arial" w:hAnsi="Arial" w:cs="Arial"/>
                <w:b/>
                <w:bCs/>
                <w:color w:val="000000"/>
                <w:sz w:val="16"/>
                <w:szCs w:val="16"/>
                <w:lang w:val="es-CR" w:eastAsia="es-CR"/>
              </w:rPr>
              <w:t>Auditoría Externa 2016</w:t>
            </w:r>
          </w:p>
        </w:tc>
        <w:tc>
          <w:tcPr>
            <w:tcW w:w="1275" w:type="dxa"/>
            <w:vMerge w:val="restart"/>
            <w:tcBorders>
              <w:top w:val="single" w:sz="4" w:space="0" w:color="auto"/>
              <w:left w:val="single" w:sz="4" w:space="0" w:color="auto"/>
              <w:right w:val="single" w:sz="4" w:space="0" w:color="auto"/>
            </w:tcBorders>
            <w:vAlign w:val="center"/>
          </w:tcPr>
          <w:p w:rsidR="00E45CAD" w:rsidRPr="00E45CAD" w:rsidRDefault="00E45CAD" w:rsidP="00E45CAD">
            <w:pPr>
              <w:jc w:val="center"/>
              <w:rPr>
                <w:rFonts w:ascii="Arial" w:hAnsi="Arial" w:cs="Arial"/>
                <w:color w:val="000000"/>
                <w:sz w:val="16"/>
                <w:szCs w:val="16"/>
                <w:lang w:val="es-CR" w:eastAsia="es-CR"/>
              </w:rPr>
            </w:pPr>
            <w:r w:rsidRPr="00E45CAD">
              <w:rPr>
                <w:rFonts w:ascii="Arial" w:hAnsi="Arial" w:cs="Arial"/>
                <w:b/>
                <w:bCs/>
                <w:color w:val="000000"/>
                <w:sz w:val="16"/>
                <w:szCs w:val="16"/>
                <w:lang w:val="es-CR" w:eastAsia="es-CR"/>
              </w:rPr>
              <w:t>Hallazgo 11</w:t>
            </w:r>
            <w:r w:rsidRPr="00E45CAD">
              <w:rPr>
                <w:rFonts w:ascii="Arial" w:hAnsi="Arial" w:cs="Arial"/>
                <w:color w:val="000000"/>
                <w:sz w:val="16"/>
                <w:szCs w:val="16"/>
                <w:lang w:val="es-CR" w:eastAsia="es-CR"/>
              </w:rPr>
              <w:t>. Debilidades en el Sistema de Control Interno de la Sede Regional San Carlos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CAD" w:rsidRPr="00E45CAD" w:rsidRDefault="00E45CAD" w:rsidP="00E45CAD">
            <w:pPr>
              <w:jc w:val="both"/>
              <w:rPr>
                <w:rFonts w:ascii="Arial" w:hAnsi="Arial" w:cs="Arial"/>
                <w:sz w:val="16"/>
                <w:szCs w:val="16"/>
                <w:lang w:val="es-CR" w:eastAsia="es-CR"/>
              </w:rPr>
            </w:pPr>
            <w:r w:rsidRPr="00E45CAD">
              <w:rPr>
                <w:rFonts w:ascii="Arial" w:hAnsi="Arial" w:cs="Arial"/>
                <w:sz w:val="16"/>
                <w:szCs w:val="16"/>
                <w:lang w:val="es-CR" w:eastAsia="es-CR"/>
              </w:rPr>
              <w:t>1. Solicitar a la Vicerrectoría de Administración por medio del Departamento de Recursos Humanos realizar un estudio de cargas de trabajo y asignación de funciones de la Unidad de Gestión Financiera y Administración de Bienes.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CAD" w:rsidRPr="00E45CAD" w:rsidRDefault="00E45CAD" w:rsidP="00E45CAD">
            <w:pPr>
              <w:jc w:val="center"/>
              <w:rPr>
                <w:rFonts w:ascii="Arial" w:hAnsi="Arial" w:cs="Arial"/>
                <w:color w:val="000000"/>
                <w:sz w:val="16"/>
                <w:szCs w:val="16"/>
                <w:lang w:val="es-CR" w:eastAsia="es-CR"/>
              </w:rPr>
            </w:pPr>
            <w:r w:rsidRPr="00E45CAD">
              <w:rPr>
                <w:rFonts w:ascii="Arial" w:hAnsi="Arial" w:cs="Arial"/>
                <w:color w:val="000000"/>
                <w:sz w:val="16"/>
                <w:szCs w:val="16"/>
                <w:lang w:val="es-CR" w:eastAsia="es-CR"/>
              </w:rPr>
              <w:t>30/03/2019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CAD" w:rsidRPr="00E45CAD" w:rsidRDefault="00E45CAD" w:rsidP="00E45CAD">
            <w:pPr>
              <w:jc w:val="both"/>
              <w:rPr>
                <w:rFonts w:ascii="Arial" w:hAnsi="Arial" w:cs="Arial"/>
                <w:color w:val="000000"/>
                <w:sz w:val="16"/>
                <w:szCs w:val="16"/>
                <w:lang w:val="es-CR" w:eastAsia="es-CR"/>
              </w:rPr>
            </w:pPr>
            <w:r w:rsidRPr="00E45CAD">
              <w:rPr>
                <w:rFonts w:ascii="Arial" w:hAnsi="Arial" w:cs="Arial"/>
                <w:color w:val="000000"/>
                <w:sz w:val="16"/>
                <w:szCs w:val="16"/>
                <w:lang w:val="es-CR" w:eastAsia="es-CR"/>
              </w:rPr>
              <w:t>Estudio de cargas de trabajo.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CAD" w:rsidRPr="00E45CAD" w:rsidRDefault="00E45CAD" w:rsidP="00E45CAD">
            <w:pPr>
              <w:jc w:val="both"/>
              <w:rPr>
                <w:rFonts w:ascii="Arial" w:hAnsi="Arial" w:cs="Arial"/>
                <w:color w:val="000000"/>
                <w:sz w:val="16"/>
                <w:szCs w:val="16"/>
                <w:lang w:val="es-CR" w:eastAsia="es-CR"/>
              </w:rPr>
            </w:pPr>
            <w:r w:rsidRPr="00E45CAD">
              <w:rPr>
                <w:rFonts w:ascii="Arial" w:hAnsi="Arial" w:cs="Arial"/>
                <w:color w:val="000000"/>
                <w:sz w:val="16"/>
                <w:szCs w:val="16"/>
                <w:lang w:val="es-CR" w:eastAsia="es-CR"/>
              </w:rPr>
              <w:t>Mildred Zuñiga y Nelson Ortega.</w:t>
            </w:r>
          </w:p>
        </w:tc>
      </w:tr>
      <w:tr w:rsidR="00E45CAD" w:rsidRPr="00E45CAD" w:rsidTr="00FA5A57">
        <w:trPr>
          <w:trHeight w:val="612"/>
        </w:trPr>
        <w:tc>
          <w:tcPr>
            <w:tcW w:w="1135" w:type="dxa"/>
            <w:vMerge/>
            <w:tcBorders>
              <w:left w:val="single" w:sz="4" w:space="0" w:color="auto"/>
              <w:bottom w:val="single" w:sz="4" w:space="0" w:color="auto"/>
              <w:right w:val="single" w:sz="4" w:space="0" w:color="auto"/>
            </w:tcBorders>
          </w:tcPr>
          <w:p w:rsidR="00E45CAD" w:rsidRPr="00E45CAD" w:rsidRDefault="00E45CAD" w:rsidP="00E45CAD">
            <w:pPr>
              <w:jc w:val="both"/>
              <w:rPr>
                <w:rFonts w:ascii="Arial" w:hAnsi="Arial" w:cs="Arial"/>
                <w:sz w:val="16"/>
                <w:szCs w:val="16"/>
                <w:lang w:val="es-CR" w:eastAsia="es-CR"/>
              </w:rPr>
            </w:pPr>
          </w:p>
        </w:tc>
        <w:tc>
          <w:tcPr>
            <w:tcW w:w="1275" w:type="dxa"/>
            <w:vMerge/>
            <w:tcBorders>
              <w:left w:val="single" w:sz="4" w:space="0" w:color="auto"/>
              <w:bottom w:val="single" w:sz="4" w:space="0" w:color="auto"/>
              <w:right w:val="single" w:sz="4" w:space="0" w:color="auto"/>
            </w:tcBorders>
          </w:tcPr>
          <w:p w:rsidR="00E45CAD" w:rsidRPr="00E45CAD" w:rsidRDefault="00E45CAD" w:rsidP="00E45CAD">
            <w:pPr>
              <w:jc w:val="both"/>
              <w:rPr>
                <w:rFonts w:ascii="Arial" w:hAnsi="Arial" w:cs="Arial"/>
                <w:sz w:val="16"/>
                <w:szCs w:val="16"/>
                <w:lang w:val="es-CR" w:eastAsia="es-CR"/>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E45CAD" w:rsidRPr="00E45CAD" w:rsidRDefault="00E45CAD" w:rsidP="00E45CAD">
            <w:pPr>
              <w:jc w:val="both"/>
              <w:rPr>
                <w:rFonts w:ascii="Arial" w:hAnsi="Arial" w:cs="Arial"/>
                <w:sz w:val="16"/>
                <w:szCs w:val="16"/>
                <w:lang w:val="es-CR" w:eastAsia="es-CR"/>
              </w:rPr>
            </w:pPr>
            <w:r w:rsidRPr="00E45CAD">
              <w:rPr>
                <w:rFonts w:ascii="Arial" w:hAnsi="Arial" w:cs="Arial"/>
                <w:sz w:val="16"/>
                <w:szCs w:val="16"/>
                <w:lang w:val="es-CR" w:eastAsia="es-CR"/>
              </w:rPr>
              <w:t>2. Solicitar a la Vicerrectoría de Administración realizar un estudio de revisión de procedimientos y de los procesos actuales.</w:t>
            </w:r>
          </w:p>
        </w:tc>
        <w:tc>
          <w:tcPr>
            <w:tcW w:w="1134" w:type="dxa"/>
            <w:tcBorders>
              <w:top w:val="nil"/>
              <w:left w:val="nil"/>
              <w:bottom w:val="single" w:sz="4" w:space="0" w:color="auto"/>
              <w:right w:val="single" w:sz="4" w:space="0" w:color="auto"/>
            </w:tcBorders>
            <w:shd w:val="clear" w:color="auto" w:fill="auto"/>
            <w:vAlign w:val="center"/>
            <w:hideMark/>
          </w:tcPr>
          <w:p w:rsidR="00E45CAD" w:rsidRPr="00E45CAD" w:rsidRDefault="00E45CAD" w:rsidP="00E45CAD">
            <w:pPr>
              <w:jc w:val="center"/>
              <w:rPr>
                <w:rFonts w:ascii="Arial" w:hAnsi="Arial" w:cs="Arial"/>
                <w:color w:val="000000"/>
                <w:sz w:val="16"/>
                <w:szCs w:val="16"/>
                <w:lang w:val="es-CR" w:eastAsia="es-CR"/>
              </w:rPr>
            </w:pPr>
            <w:r w:rsidRPr="00E45CAD">
              <w:rPr>
                <w:rFonts w:ascii="Arial" w:hAnsi="Arial" w:cs="Arial"/>
                <w:color w:val="000000"/>
                <w:sz w:val="16"/>
                <w:szCs w:val="16"/>
                <w:lang w:val="es-CR" w:eastAsia="es-CR"/>
              </w:rPr>
              <w:t>31/12/2018</w:t>
            </w:r>
          </w:p>
        </w:tc>
        <w:tc>
          <w:tcPr>
            <w:tcW w:w="2410" w:type="dxa"/>
            <w:tcBorders>
              <w:top w:val="nil"/>
              <w:left w:val="nil"/>
              <w:bottom w:val="single" w:sz="4" w:space="0" w:color="auto"/>
              <w:right w:val="single" w:sz="4" w:space="0" w:color="auto"/>
            </w:tcBorders>
            <w:shd w:val="clear" w:color="auto" w:fill="auto"/>
            <w:vAlign w:val="center"/>
            <w:hideMark/>
          </w:tcPr>
          <w:p w:rsidR="00E45CAD" w:rsidRPr="00E45CAD" w:rsidRDefault="00E45CAD" w:rsidP="00E45CAD">
            <w:pPr>
              <w:jc w:val="both"/>
              <w:rPr>
                <w:rFonts w:ascii="Arial" w:hAnsi="Arial" w:cs="Arial"/>
                <w:color w:val="000000"/>
                <w:sz w:val="16"/>
                <w:szCs w:val="16"/>
                <w:lang w:val="es-CR" w:eastAsia="es-CR"/>
              </w:rPr>
            </w:pPr>
            <w:r w:rsidRPr="00E45CAD">
              <w:rPr>
                <w:rFonts w:ascii="Arial" w:hAnsi="Arial" w:cs="Arial"/>
                <w:color w:val="000000"/>
                <w:sz w:val="16"/>
                <w:szCs w:val="16"/>
                <w:lang w:val="es-CR" w:eastAsia="es-CR"/>
              </w:rPr>
              <w:t>Estudio de procedimientos y procesos.</w:t>
            </w:r>
          </w:p>
        </w:tc>
        <w:tc>
          <w:tcPr>
            <w:tcW w:w="1417" w:type="dxa"/>
            <w:tcBorders>
              <w:top w:val="nil"/>
              <w:left w:val="nil"/>
              <w:bottom w:val="single" w:sz="4" w:space="0" w:color="auto"/>
              <w:right w:val="single" w:sz="8" w:space="0" w:color="auto"/>
            </w:tcBorders>
            <w:shd w:val="clear" w:color="auto" w:fill="auto"/>
            <w:vAlign w:val="center"/>
            <w:hideMark/>
          </w:tcPr>
          <w:p w:rsidR="00E45CAD" w:rsidRPr="00E45CAD" w:rsidRDefault="00E45CAD" w:rsidP="00E45CAD">
            <w:pPr>
              <w:jc w:val="both"/>
              <w:rPr>
                <w:rFonts w:ascii="Arial" w:hAnsi="Arial" w:cs="Arial"/>
                <w:color w:val="000000"/>
                <w:sz w:val="16"/>
                <w:szCs w:val="16"/>
                <w:lang w:val="es-CR" w:eastAsia="es-CR"/>
              </w:rPr>
            </w:pPr>
            <w:r w:rsidRPr="00E45CAD">
              <w:rPr>
                <w:rFonts w:ascii="Arial" w:hAnsi="Arial" w:cs="Arial"/>
                <w:color w:val="000000"/>
                <w:sz w:val="16"/>
                <w:szCs w:val="16"/>
                <w:lang w:val="es-CR" w:eastAsia="es-CR"/>
              </w:rPr>
              <w:t>Mildred Zuñiga y Ronald Bonilla.</w:t>
            </w:r>
          </w:p>
        </w:tc>
      </w:tr>
    </w:tbl>
    <w:p w:rsidR="00E45CAD" w:rsidRPr="00E45CAD" w:rsidRDefault="00E45CAD" w:rsidP="00E45CAD">
      <w:pPr>
        <w:autoSpaceDE w:val="0"/>
        <w:autoSpaceDN w:val="0"/>
        <w:ind w:left="426"/>
        <w:jc w:val="both"/>
        <w:rPr>
          <w:rFonts w:ascii="Arial" w:hAnsi="Arial" w:cs="Arial"/>
          <w:bCs/>
          <w:iCs/>
          <w:sz w:val="20"/>
          <w:szCs w:val="20"/>
          <w:lang w:val="es-CR"/>
        </w:rPr>
      </w:pPr>
    </w:p>
    <w:p w:rsidR="00E45CAD" w:rsidRPr="008557C9" w:rsidRDefault="00E45CAD" w:rsidP="008557C9">
      <w:pPr>
        <w:tabs>
          <w:tab w:val="left" w:pos="760"/>
        </w:tabs>
        <w:spacing w:line="276" w:lineRule="auto"/>
        <w:jc w:val="both"/>
        <w:rPr>
          <w:rFonts w:ascii="Arial" w:hAnsi="Arial" w:cs="Arial"/>
          <w:b/>
          <w:sz w:val="22"/>
          <w:szCs w:val="22"/>
          <w:lang w:val="es-CR"/>
        </w:rPr>
      </w:pPr>
    </w:p>
    <w:p w:rsidR="001E1E49" w:rsidRDefault="003859C1" w:rsidP="00E45CAD">
      <w:pPr>
        <w:numPr>
          <w:ilvl w:val="0"/>
          <w:numId w:val="47"/>
        </w:numPr>
        <w:ind w:left="322"/>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8557C9" w:rsidRDefault="008557C9" w:rsidP="008557C9">
      <w:pPr>
        <w:ind w:left="360" w:right="-91"/>
        <w:jc w:val="both"/>
        <w:rPr>
          <w:rFonts w:ascii="Arial" w:hAnsi="Arial" w:cs="Arial"/>
        </w:rPr>
      </w:pPr>
    </w:p>
    <w:p w:rsidR="00E45CAD" w:rsidRPr="00E45CAD" w:rsidRDefault="00E45CAD" w:rsidP="00E45CAD">
      <w:pPr>
        <w:autoSpaceDE w:val="0"/>
        <w:autoSpaceDN w:val="0"/>
        <w:adjustRightInd w:val="0"/>
        <w:jc w:val="both"/>
        <w:rPr>
          <w:rFonts w:ascii="Arial" w:hAnsi="Arial" w:cs="Arial"/>
          <w:lang w:val="es-CR"/>
        </w:rPr>
      </w:pPr>
      <w:r w:rsidRPr="00E45CAD">
        <w:rPr>
          <w:rFonts w:ascii="Arial" w:hAnsi="Arial" w:cs="Arial"/>
          <w:b/>
          <w:sz w:val="22"/>
          <w:szCs w:val="22"/>
          <w:lang w:val="es-CR"/>
        </w:rPr>
        <w:t>PALABRAS CLAVE:</w:t>
      </w:r>
      <w:r w:rsidRPr="00E45CAD">
        <w:rPr>
          <w:rFonts w:ascii="Arial" w:hAnsi="Arial" w:cs="Arial"/>
          <w:sz w:val="22"/>
          <w:szCs w:val="22"/>
          <w:lang w:val="es-CR"/>
        </w:rPr>
        <w:t xml:space="preserve"> </w:t>
      </w:r>
      <w:r w:rsidRPr="00E45CAD">
        <w:rPr>
          <w:rFonts w:ascii="Arial" w:hAnsi="Arial" w:cs="Arial"/>
          <w:lang w:val="es-ES_tradnl"/>
        </w:rPr>
        <w:t xml:space="preserve">Ampliación – plazo - acciones – Hallazgo 11 - Plan –acción – Auditorías -  </w:t>
      </w:r>
      <w:proofErr w:type="gramStart"/>
      <w:r w:rsidRPr="00E45CAD">
        <w:rPr>
          <w:rFonts w:ascii="Arial" w:hAnsi="Arial" w:cs="Arial"/>
          <w:lang w:val="es-ES_tradnl"/>
        </w:rPr>
        <w:t>Externas  -</w:t>
      </w:r>
      <w:proofErr w:type="gramEnd"/>
      <w:r w:rsidRPr="00E45CAD">
        <w:rPr>
          <w:rFonts w:ascii="Arial" w:hAnsi="Arial" w:cs="Arial"/>
          <w:lang w:val="es-ES_tradnl"/>
        </w:rPr>
        <w:t xml:space="preserve">  Sesión Ordinaria No. 3037.</w:t>
      </w:r>
    </w:p>
    <w:p w:rsidR="001E1E49" w:rsidRPr="008557C9" w:rsidRDefault="001E1E49" w:rsidP="008557C9">
      <w:pPr>
        <w:tabs>
          <w:tab w:val="left" w:pos="760"/>
        </w:tabs>
        <w:spacing w:line="276" w:lineRule="auto"/>
        <w:jc w:val="both"/>
        <w:rPr>
          <w:rFonts w:ascii="Arial" w:hAnsi="Arial" w:cs="Arial"/>
          <w:b/>
          <w:sz w:val="16"/>
          <w:szCs w:val="16"/>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53B" w:rsidRDefault="008B653B">
      <w:r>
        <w:separator/>
      </w:r>
    </w:p>
  </w:endnote>
  <w:endnote w:type="continuationSeparator" w:id="0">
    <w:p w:rsidR="008B653B" w:rsidRDefault="008B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53B" w:rsidRDefault="008B653B">
      <w:r>
        <w:separator/>
      </w:r>
    </w:p>
  </w:footnote>
  <w:footnote w:type="continuationSeparator" w:id="0">
    <w:p w:rsidR="008B653B" w:rsidRDefault="008B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266848">
      <w:rPr>
        <w:rFonts w:ascii="Arial" w:eastAsia="Cambria" w:hAnsi="Arial" w:cs="Arial"/>
        <w:i/>
        <w:sz w:val="18"/>
        <w:szCs w:val="18"/>
        <w:lang w:val="es-ES_tradnl" w:eastAsia="x-none"/>
      </w:rPr>
      <w:t>80</w:t>
    </w:r>
    <w:r w:rsidRPr="00D958BC">
      <w:rPr>
        <w:rFonts w:ascii="Arial" w:eastAsia="Cambria" w:hAnsi="Arial" w:cs="Arial"/>
        <w:i/>
        <w:sz w:val="18"/>
        <w:szCs w:val="18"/>
        <w:lang w:val="es-ES_tradnl" w:eastAsia="x-none"/>
      </w:rPr>
      <w:t xml:space="preserve">, Artículo </w:t>
    </w:r>
    <w:r w:rsidR="008557C9">
      <w:rPr>
        <w:rFonts w:ascii="Arial" w:eastAsia="Cambria" w:hAnsi="Arial" w:cs="Arial"/>
        <w:i/>
        <w:sz w:val="18"/>
        <w:szCs w:val="18"/>
        <w:lang w:val="es-ES_tradnl" w:eastAsia="x-none"/>
      </w:rPr>
      <w:t>1</w:t>
    </w:r>
    <w:r w:rsidR="00266848">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66848">
      <w:rPr>
        <w:rFonts w:ascii="Arial" w:eastAsia="Cambria" w:hAnsi="Arial" w:cs="Arial"/>
        <w:i/>
        <w:sz w:val="18"/>
        <w:szCs w:val="18"/>
        <w:lang w:val="es-ES_tradnl" w:eastAsia="x-none"/>
      </w:rPr>
      <w:t>24</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w:t>
    </w:r>
    <w:r w:rsidR="006C6D25">
      <w:rPr>
        <w:rFonts w:ascii="Arial" w:eastAsia="Cambria" w:hAnsi="Arial" w:cs="Arial"/>
        <w:i/>
        <w:sz w:val="18"/>
        <w:szCs w:val="18"/>
        <w:lang w:val="es-ES_tradnl" w:eastAsia="x-none"/>
      </w:rPr>
      <w:t>l</w:t>
    </w:r>
    <w:r w:rsidR="002B4AA8">
      <w:rPr>
        <w:rFonts w:ascii="Arial" w:eastAsia="Cambria" w:hAnsi="Arial" w:cs="Arial"/>
        <w:i/>
        <w:sz w:val="18"/>
        <w:szCs w:val="18"/>
        <w:lang w:val="es-ES_tradnl" w:eastAsia="x-none"/>
      </w:rPr>
      <w:t>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6337D">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F300B4"/>
    <w:multiLevelType w:val="hybridMultilevel"/>
    <w:tmpl w:val="D7A8CB28"/>
    <w:lvl w:ilvl="0" w:tplc="58D689C6">
      <w:start w:val="1"/>
      <w:numFmt w:val="lowerLetter"/>
      <w:lvlText w:val="%1."/>
      <w:lvlJc w:val="left"/>
      <w:pPr>
        <w:ind w:left="644" w:hanging="360"/>
      </w:pPr>
      <w:rPr>
        <w:rFonts w:hint="default"/>
        <w:b/>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4"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AA6341D"/>
    <w:multiLevelType w:val="multilevel"/>
    <w:tmpl w:val="F6D0436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0E2611F"/>
    <w:multiLevelType w:val="hybridMultilevel"/>
    <w:tmpl w:val="68805D16"/>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5"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EA4346C"/>
    <w:multiLevelType w:val="hybridMultilevel"/>
    <w:tmpl w:val="CB16A656"/>
    <w:lvl w:ilvl="0" w:tplc="CAB4DAB4">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9"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4"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6"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3"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5"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41"/>
  </w:num>
  <w:num w:numId="3">
    <w:abstractNumId w:val="29"/>
  </w:num>
  <w:num w:numId="4">
    <w:abstractNumId w:val="2"/>
  </w:num>
  <w:num w:numId="5">
    <w:abstractNumId w:val="15"/>
  </w:num>
  <w:num w:numId="6">
    <w:abstractNumId w:val="32"/>
  </w:num>
  <w:num w:numId="7">
    <w:abstractNumId w:val="16"/>
  </w:num>
  <w:num w:numId="8">
    <w:abstractNumId w:val="9"/>
  </w:num>
  <w:num w:numId="9">
    <w:abstractNumId w:val="23"/>
  </w:num>
  <w:num w:numId="10">
    <w:abstractNumId w:val="13"/>
  </w:num>
  <w:num w:numId="11">
    <w:abstractNumId w:val="33"/>
  </w:num>
  <w:num w:numId="12">
    <w:abstractNumId w:val="37"/>
  </w:num>
  <w:num w:numId="13">
    <w:abstractNumId w:val="21"/>
  </w:num>
  <w:num w:numId="14">
    <w:abstractNumId w:val="31"/>
  </w:num>
  <w:num w:numId="15">
    <w:abstractNumId w:val="0"/>
  </w:num>
  <w:num w:numId="16">
    <w:abstractNumId w:val="14"/>
  </w:num>
  <w:num w:numId="17">
    <w:abstractNumId w:val="12"/>
  </w:num>
  <w:num w:numId="18">
    <w:abstractNumId w:val="36"/>
  </w:num>
  <w:num w:numId="19">
    <w:abstractNumId w:val="25"/>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5"/>
  </w:num>
  <w:num w:numId="26">
    <w:abstractNumId w:val="26"/>
  </w:num>
  <w:num w:numId="27">
    <w:abstractNumId w:val="27"/>
  </w:num>
  <w:num w:numId="28">
    <w:abstractNumId w:val="19"/>
  </w:num>
  <w:num w:numId="29">
    <w:abstractNumId w:val="42"/>
  </w:num>
  <w:num w:numId="30">
    <w:abstractNumId w:val="5"/>
  </w:num>
  <w:num w:numId="31">
    <w:abstractNumId w:val="30"/>
  </w:num>
  <w:num w:numId="32">
    <w:abstractNumId w:val="18"/>
  </w:num>
  <w:num w:numId="33">
    <w:abstractNumId w:val="20"/>
  </w:num>
  <w:num w:numId="34">
    <w:abstractNumId w:val="38"/>
  </w:num>
  <w:num w:numId="35">
    <w:abstractNumId w:val="40"/>
  </w:num>
  <w:num w:numId="36">
    <w:abstractNumId w:val="45"/>
  </w:num>
  <w:num w:numId="37">
    <w:abstractNumId w:val="43"/>
  </w:num>
  <w:num w:numId="38">
    <w:abstractNumId w:val="1"/>
  </w:num>
  <w:num w:numId="39">
    <w:abstractNumId w:val="11"/>
  </w:num>
  <w:num w:numId="40">
    <w:abstractNumId w:val="39"/>
  </w:num>
  <w:num w:numId="41">
    <w:abstractNumId w:val="8"/>
  </w:num>
  <w:num w:numId="42">
    <w:abstractNumId w:val="17"/>
  </w:num>
  <w:num w:numId="43">
    <w:abstractNumId w:val="6"/>
  </w:num>
  <w:num w:numId="44">
    <w:abstractNumId w:val="24"/>
  </w:num>
  <w:num w:numId="45">
    <w:abstractNumId w:val="28"/>
  </w:num>
  <w:num w:numId="46">
    <w:abstractNumId w:val="10"/>
  </w:num>
  <w:num w:numId="47">
    <w:abstractNumId w:val="4"/>
  </w:num>
  <w:num w:numId="4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08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428"/>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1503"/>
    <w:rsid w:val="00242D06"/>
    <w:rsid w:val="00242F8A"/>
    <w:rsid w:val="00243B05"/>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48"/>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2E5A"/>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1EC6"/>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67DE8"/>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35D"/>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37D"/>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6D2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557C9"/>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2428"/>
    <w:rsid w:val="008B43F5"/>
    <w:rsid w:val="008B653B"/>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3DC8"/>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C552C"/>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257"/>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766"/>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5CAD"/>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35B"/>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5AA2"/>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121"/>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 w:val="00FF4DC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4CDD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83A6-B4AF-4DC8-ACB5-30CAE438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30</cp:revision>
  <cp:lastPrinted>2018-07-24T21:12:00Z</cp:lastPrinted>
  <dcterms:created xsi:type="dcterms:W3CDTF">2018-05-02T21:37:00Z</dcterms:created>
  <dcterms:modified xsi:type="dcterms:W3CDTF">2018-07-26T13:57:00Z</dcterms:modified>
</cp:coreProperties>
</file>