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73" w:rsidRDefault="00CD6673" w:rsidP="007C024F">
      <w:pPr>
        <w:ind w:left="1276" w:hanging="1276"/>
        <w:jc w:val="both"/>
        <w:rPr>
          <w:rFonts w:ascii="Arial" w:eastAsia="MS Mincho" w:hAnsi="Arial" w:cs="Arial"/>
          <w:b/>
        </w:rPr>
      </w:pPr>
    </w:p>
    <w:p w:rsidR="00D958BC" w:rsidRDefault="00D958BC" w:rsidP="007C024F">
      <w:pPr>
        <w:ind w:left="1276" w:hanging="1276"/>
        <w:jc w:val="both"/>
        <w:rPr>
          <w:rFonts w:ascii="Arial" w:eastAsia="MS Mincho" w:hAnsi="Arial" w:cs="Arial"/>
          <w:b/>
        </w:rPr>
      </w:pPr>
    </w:p>
    <w:p w:rsidR="00D958BC" w:rsidRPr="00D958BC" w:rsidRDefault="00D958BC" w:rsidP="00D958BC">
      <w:pPr>
        <w:outlineLvl w:val="4"/>
        <w:rPr>
          <w:rFonts w:ascii="Arial" w:hAnsi="Arial" w:cs="Arial"/>
          <w:b/>
          <w:bCs/>
          <w:iCs/>
          <w:sz w:val="26"/>
          <w:szCs w:val="22"/>
          <w:lang w:val="es-CR"/>
        </w:rPr>
      </w:pPr>
      <w:r w:rsidRPr="00D958BC">
        <w:rPr>
          <w:rFonts w:ascii="Arial" w:hAnsi="Arial" w:cs="Arial"/>
          <w:b/>
          <w:bCs/>
          <w:iCs/>
          <w:sz w:val="26"/>
          <w:szCs w:val="22"/>
          <w:lang w:val="es-CR"/>
        </w:rPr>
        <w:t>SCI-</w:t>
      </w:r>
      <w:r w:rsidR="004E5F1D">
        <w:rPr>
          <w:rFonts w:ascii="Arial" w:hAnsi="Arial" w:cs="Arial"/>
          <w:b/>
          <w:bCs/>
          <w:iCs/>
          <w:sz w:val="26"/>
          <w:szCs w:val="22"/>
          <w:lang w:val="es-CR"/>
        </w:rPr>
        <w:t>735</w:t>
      </w:r>
      <w:r w:rsidRPr="00D958BC">
        <w:rPr>
          <w:rFonts w:ascii="Arial" w:hAnsi="Arial" w:cs="Arial"/>
          <w:b/>
          <w:bCs/>
          <w:iCs/>
          <w:sz w:val="26"/>
          <w:szCs w:val="22"/>
          <w:lang w:val="es-CR"/>
        </w:rPr>
        <w:t>-2016</w:t>
      </w:r>
    </w:p>
    <w:p w:rsidR="00E965FF" w:rsidRPr="007D24E0" w:rsidRDefault="00D958BC" w:rsidP="00D958BC">
      <w:pPr>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D958BC" w:rsidRPr="00D958BC" w:rsidRDefault="00D958BC" w:rsidP="00D958BC">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D958BC" w:rsidRPr="00D958BC" w:rsidTr="00DC1105">
        <w:tc>
          <w:tcPr>
            <w:tcW w:w="1418" w:type="dxa"/>
          </w:tcPr>
          <w:p w:rsidR="00D958BC" w:rsidRPr="00D958BC" w:rsidRDefault="00D958BC" w:rsidP="00D958BC">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D958BC" w:rsidRDefault="00D958BC" w:rsidP="00D958BC">
            <w:pPr>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Dr. Julio Calvo Alvarado, Rector</w:t>
            </w:r>
          </w:p>
          <w:p w:rsidR="000D5EB1" w:rsidRP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MBA. Humberto Villalta, Vicerrector de Administración</w:t>
            </w:r>
          </w:p>
          <w:p w:rsidR="000D5EB1" w:rsidRP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Ing. Luis Paulino Méndez, Vicerrector de Docencia</w:t>
            </w:r>
          </w:p>
          <w:p w:rsidR="000D5EB1" w:rsidRP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 xml:space="preserve">Dra. Paola Vega, Vicerrectora de Investigación y Extensión </w:t>
            </w:r>
          </w:p>
          <w:p w:rsidR="000D5EB1" w:rsidRP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 xml:space="preserve">Dra. Claudia Madrizova, Vicerrectora de Vida Estudiantil y Servicios Académicos </w:t>
            </w:r>
          </w:p>
          <w:p w:rsidR="000D5EB1" w:rsidRPr="000D5EB1" w:rsidRDefault="000D5EB1" w:rsidP="000D5EB1">
            <w:pPr>
              <w:ind w:left="45"/>
              <w:jc w:val="both"/>
              <w:rPr>
                <w:rFonts w:ascii="Arial" w:eastAsia="Cambria" w:hAnsi="Arial" w:cs="Arial"/>
                <w:sz w:val="22"/>
                <w:szCs w:val="22"/>
                <w:lang w:val="es-ES_tradnl" w:eastAsia="en-US"/>
              </w:rPr>
            </w:pPr>
            <w:proofErr w:type="spellStart"/>
            <w:r w:rsidRPr="000D5EB1">
              <w:rPr>
                <w:rFonts w:ascii="Arial" w:eastAsia="Cambria" w:hAnsi="Arial" w:cs="Arial"/>
                <w:sz w:val="22"/>
                <w:szCs w:val="22"/>
                <w:lang w:val="es-ES_tradnl" w:eastAsia="en-US"/>
              </w:rPr>
              <w:t>M.Sc</w:t>
            </w:r>
            <w:proofErr w:type="spellEnd"/>
            <w:r w:rsidRPr="000D5EB1">
              <w:rPr>
                <w:rFonts w:ascii="Arial" w:eastAsia="Cambria" w:hAnsi="Arial" w:cs="Arial"/>
                <w:sz w:val="22"/>
                <w:szCs w:val="22"/>
                <w:lang w:val="es-ES_tradnl" w:eastAsia="en-US"/>
              </w:rPr>
              <w:t>. Edgardo Vargas, Director Sede Regional San Carlos</w:t>
            </w:r>
          </w:p>
          <w:p w:rsidR="000D5EB1" w:rsidRP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Arq. Marlene Ilama, Directora Centro Académico de San José</w:t>
            </w:r>
          </w:p>
          <w:p w:rsidR="000D5EB1" w:rsidRP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Máster Xinia Alfaro, Directora Centro Académico de Alajuela</w:t>
            </w:r>
          </w:p>
          <w:p w:rsid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Máster Roxana Jiménez, Directora Centro Académico de Limón</w:t>
            </w:r>
          </w:p>
          <w:p w:rsidR="007D24E0" w:rsidRDefault="007D24E0" w:rsidP="000D5EB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Nelson Ortega, Director Asamblea Institucional Representativa</w:t>
            </w:r>
          </w:p>
          <w:p w:rsidR="007D24E0" w:rsidRPr="000D5EB1" w:rsidRDefault="007D24E0" w:rsidP="000D5EB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 Marvin Santos Varela, Presidente Tribunal Institucional Electoral</w:t>
            </w:r>
          </w:p>
          <w:p w:rsidR="00534B45" w:rsidRPr="00E440CF" w:rsidRDefault="00534B45" w:rsidP="005476A5">
            <w:pPr>
              <w:ind w:left="45"/>
              <w:jc w:val="both"/>
              <w:rPr>
                <w:rFonts w:ascii="Arial" w:hAnsi="Arial" w:cs="Arial"/>
                <w:sz w:val="22"/>
                <w:szCs w:val="22"/>
                <w:lang w:val="es-ES_tradnl"/>
              </w:rPr>
            </w:pPr>
          </w:p>
        </w:tc>
      </w:tr>
      <w:tr w:rsidR="00D958BC" w:rsidRPr="00D958BC" w:rsidTr="00DC1105">
        <w:tc>
          <w:tcPr>
            <w:tcW w:w="1418" w:type="dxa"/>
          </w:tcPr>
          <w:p w:rsidR="00D958BC" w:rsidRPr="00D958BC" w:rsidRDefault="00D958BC" w:rsidP="00D958BC">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D958BC" w:rsidRPr="00D958BC" w:rsidTr="00DC1105">
        <w:trPr>
          <w:trHeight w:val="327"/>
        </w:trPr>
        <w:tc>
          <w:tcPr>
            <w:tcW w:w="1418" w:type="dxa"/>
          </w:tcPr>
          <w:p w:rsidR="00D958BC" w:rsidRPr="00D958BC" w:rsidRDefault="00D958BC" w:rsidP="00D958BC">
            <w:pPr>
              <w:rPr>
                <w:rFonts w:ascii="Arial" w:eastAsia="SimSun" w:hAnsi="Arial" w:cs="Arial"/>
                <w:b/>
                <w:lang w:val="es-ES_tradnl" w:eastAsia="en-US"/>
              </w:rPr>
            </w:pPr>
          </w:p>
          <w:p w:rsidR="00D958BC" w:rsidRPr="00D958BC" w:rsidRDefault="00D958BC" w:rsidP="00D958BC">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D958BC" w:rsidRPr="00D958BC" w:rsidRDefault="00D958BC" w:rsidP="00D958BC">
            <w:pPr>
              <w:tabs>
                <w:tab w:val="right" w:pos="2410"/>
                <w:tab w:val="left" w:pos="2694"/>
              </w:tabs>
              <w:rPr>
                <w:rFonts w:ascii="Arial" w:eastAsia="Cambria" w:hAnsi="Arial" w:cs="Arial"/>
                <w:b/>
                <w:sz w:val="22"/>
                <w:szCs w:val="22"/>
                <w:lang w:eastAsia="en-US"/>
              </w:rPr>
            </w:pPr>
          </w:p>
          <w:p w:rsidR="00D958BC" w:rsidRPr="00D958BC" w:rsidRDefault="006E44A4" w:rsidP="00D55B56">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23</w:t>
            </w:r>
            <w:r w:rsidR="00D958BC" w:rsidRPr="00D958BC">
              <w:rPr>
                <w:rFonts w:ascii="Arial" w:eastAsia="Cambria" w:hAnsi="Arial" w:cs="Arial"/>
                <w:b/>
                <w:sz w:val="22"/>
                <w:szCs w:val="22"/>
                <w:lang w:val="es-ES_tradnl" w:eastAsia="en-US"/>
              </w:rPr>
              <w:t xml:space="preserve"> de </w:t>
            </w:r>
            <w:r w:rsidR="00D55B56">
              <w:rPr>
                <w:rFonts w:ascii="Arial" w:eastAsia="Cambria" w:hAnsi="Arial" w:cs="Arial"/>
                <w:b/>
                <w:sz w:val="22"/>
                <w:szCs w:val="22"/>
                <w:lang w:val="es-ES_tradnl" w:eastAsia="en-US"/>
              </w:rPr>
              <w:t>noviem</w:t>
            </w:r>
            <w:r w:rsidR="00D958BC" w:rsidRPr="00D958BC">
              <w:rPr>
                <w:rFonts w:ascii="Arial" w:eastAsia="Cambria" w:hAnsi="Arial" w:cs="Arial"/>
                <w:b/>
                <w:sz w:val="22"/>
                <w:szCs w:val="22"/>
                <w:lang w:val="es-ES_tradnl" w:eastAsia="en-US"/>
              </w:rPr>
              <w:t>bre de 2016</w:t>
            </w:r>
          </w:p>
        </w:tc>
      </w:tr>
      <w:tr w:rsidR="00D958BC" w:rsidRPr="00D958BC" w:rsidTr="00DC1105">
        <w:trPr>
          <w:trHeight w:val="289"/>
        </w:trPr>
        <w:tc>
          <w:tcPr>
            <w:tcW w:w="1418" w:type="dxa"/>
          </w:tcPr>
          <w:p w:rsidR="00D958BC" w:rsidRPr="00D958BC" w:rsidRDefault="00D958BC" w:rsidP="00D958BC">
            <w:pPr>
              <w:rPr>
                <w:rFonts w:ascii="Arial" w:eastAsia="SimSun" w:hAnsi="Arial" w:cs="Arial"/>
                <w:b/>
                <w:sz w:val="16"/>
                <w:szCs w:val="16"/>
                <w:lang w:eastAsia="en-US"/>
              </w:rPr>
            </w:pPr>
          </w:p>
        </w:tc>
        <w:tc>
          <w:tcPr>
            <w:tcW w:w="8221" w:type="dxa"/>
          </w:tcPr>
          <w:p w:rsidR="00D958BC" w:rsidRPr="00D958BC" w:rsidRDefault="00D958BC" w:rsidP="00D958BC">
            <w:pPr>
              <w:rPr>
                <w:rFonts w:ascii="Arial" w:eastAsia="SimSun" w:hAnsi="Arial" w:cs="Arial"/>
                <w:sz w:val="22"/>
                <w:szCs w:val="22"/>
                <w:lang w:eastAsia="en-US"/>
              </w:rPr>
            </w:pPr>
          </w:p>
        </w:tc>
      </w:tr>
      <w:tr w:rsidR="00D958BC" w:rsidRPr="00D958BC" w:rsidTr="00DC1105">
        <w:trPr>
          <w:trHeight w:val="327"/>
        </w:trPr>
        <w:tc>
          <w:tcPr>
            <w:tcW w:w="1418" w:type="dxa"/>
          </w:tcPr>
          <w:p w:rsidR="00D958BC" w:rsidRPr="00D958BC" w:rsidRDefault="00D958BC" w:rsidP="00D958BC">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D958BC" w:rsidRPr="00423D9B" w:rsidRDefault="00D958BC" w:rsidP="00D70107">
            <w:pPr>
              <w:jc w:val="both"/>
              <w:rPr>
                <w:rFonts w:ascii="Arial" w:hAnsi="Arial" w:cs="Arial"/>
                <w:b/>
                <w:sz w:val="22"/>
                <w:szCs w:val="22"/>
                <w:u w:val="single"/>
                <w:lang w:val="es-CR"/>
              </w:rPr>
            </w:pPr>
            <w:r w:rsidRPr="00D958BC">
              <w:rPr>
                <w:rFonts w:ascii="Arial" w:eastAsia="Calibri" w:hAnsi="Arial" w:cs="Arial"/>
                <w:b/>
                <w:sz w:val="22"/>
                <w:szCs w:val="22"/>
              </w:rPr>
              <w:t>Sesión Ordinaria No. 299</w:t>
            </w:r>
            <w:r w:rsidR="006E44A4">
              <w:rPr>
                <w:rFonts w:ascii="Arial" w:eastAsia="Calibri" w:hAnsi="Arial" w:cs="Arial"/>
                <w:b/>
                <w:sz w:val="22"/>
                <w:szCs w:val="22"/>
              </w:rPr>
              <w:t>9</w:t>
            </w:r>
            <w:r w:rsidRPr="00D958BC">
              <w:rPr>
                <w:rFonts w:ascii="Arial" w:eastAsia="Calibri" w:hAnsi="Arial" w:cs="Arial"/>
                <w:b/>
                <w:sz w:val="22"/>
                <w:szCs w:val="22"/>
              </w:rPr>
              <w:t xml:space="preserve">, Artículo </w:t>
            </w:r>
            <w:r w:rsidR="00D55B56">
              <w:rPr>
                <w:rFonts w:ascii="Arial" w:eastAsia="Calibri" w:hAnsi="Arial" w:cs="Arial"/>
                <w:b/>
                <w:sz w:val="22"/>
                <w:szCs w:val="22"/>
              </w:rPr>
              <w:t>8</w:t>
            </w:r>
            <w:r w:rsidRPr="00D958BC">
              <w:rPr>
                <w:rFonts w:ascii="Arial" w:eastAsia="Calibri" w:hAnsi="Arial" w:cs="Arial"/>
                <w:b/>
                <w:sz w:val="22"/>
                <w:szCs w:val="22"/>
              </w:rPr>
              <w:t xml:space="preserve">, del </w:t>
            </w:r>
            <w:r w:rsidR="006E44A4">
              <w:rPr>
                <w:rFonts w:ascii="Arial" w:eastAsia="Calibri" w:hAnsi="Arial" w:cs="Arial"/>
                <w:b/>
                <w:sz w:val="22"/>
                <w:szCs w:val="22"/>
              </w:rPr>
              <w:t>23</w:t>
            </w:r>
            <w:r w:rsidRPr="00D958BC">
              <w:rPr>
                <w:rFonts w:ascii="Arial" w:eastAsia="Calibri" w:hAnsi="Arial" w:cs="Arial"/>
                <w:b/>
                <w:sz w:val="22"/>
                <w:szCs w:val="22"/>
              </w:rPr>
              <w:t xml:space="preserve"> de </w:t>
            </w:r>
            <w:r w:rsidR="00D55B56">
              <w:rPr>
                <w:rFonts w:ascii="Arial" w:eastAsia="Calibri" w:hAnsi="Arial" w:cs="Arial"/>
                <w:b/>
                <w:sz w:val="22"/>
                <w:szCs w:val="22"/>
              </w:rPr>
              <w:t>noviem</w:t>
            </w:r>
            <w:r w:rsidRPr="00D958BC">
              <w:rPr>
                <w:rFonts w:ascii="Arial" w:eastAsia="Calibri" w:hAnsi="Arial" w:cs="Arial"/>
                <w:b/>
                <w:sz w:val="22"/>
                <w:szCs w:val="22"/>
              </w:rPr>
              <w:t xml:space="preserve">bre de 2016.   </w:t>
            </w:r>
            <w:r w:rsidR="005476A5">
              <w:rPr>
                <w:rFonts w:ascii="Arial" w:eastAsia="Calibri" w:hAnsi="Arial" w:cs="Arial"/>
                <w:b/>
                <w:sz w:val="22"/>
                <w:szCs w:val="22"/>
              </w:rPr>
              <w:t>Interpretación de los Artículos del Estatuto Orgánico del ITCR, sobre el cálculo de la Representación Estudiantil en los órganos de toma de decisiones</w:t>
            </w:r>
            <w:r w:rsidR="00423D9B">
              <w:rPr>
                <w:rFonts w:ascii="Arial" w:eastAsia="Calibri" w:hAnsi="Arial" w:cs="Arial"/>
                <w:b/>
                <w:sz w:val="22"/>
                <w:szCs w:val="22"/>
              </w:rPr>
              <w:t xml:space="preserve">.  </w:t>
            </w:r>
            <w:r w:rsidR="00423D9B" w:rsidRPr="00423D9B">
              <w:rPr>
                <w:rFonts w:ascii="Arial" w:eastAsia="Calibri" w:hAnsi="Arial" w:cs="Arial"/>
                <w:b/>
                <w:sz w:val="22"/>
                <w:szCs w:val="22"/>
                <w:u w:val="single"/>
              </w:rPr>
              <w:t>P</w:t>
            </w:r>
            <w:r w:rsidR="007D24E0">
              <w:rPr>
                <w:rFonts w:ascii="Arial" w:eastAsia="Calibri" w:hAnsi="Arial" w:cs="Arial"/>
                <w:b/>
                <w:sz w:val="22"/>
                <w:szCs w:val="22"/>
                <w:u w:val="single"/>
              </w:rPr>
              <w:t>rimera</w:t>
            </w:r>
            <w:r w:rsidR="00423D9B" w:rsidRPr="00423D9B">
              <w:rPr>
                <w:rFonts w:ascii="Arial" w:eastAsia="Calibri" w:hAnsi="Arial" w:cs="Arial"/>
                <w:b/>
                <w:sz w:val="22"/>
                <w:szCs w:val="22"/>
                <w:u w:val="single"/>
              </w:rPr>
              <w:t xml:space="preserve"> V</w:t>
            </w:r>
            <w:r w:rsidR="007D24E0">
              <w:rPr>
                <w:rFonts w:ascii="Arial" w:eastAsia="Calibri" w:hAnsi="Arial" w:cs="Arial"/>
                <w:b/>
                <w:sz w:val="22"/>
                <w:szCs w:val="22"/>
                <w:u w:val="single"/>
              </w:rPr>
              <w:t>otación</w:t>
            </w:r>
          </w:p>
          <w:p w:rsidR="00D958BC" w:rsidRPr="00D958BC" w:rsidRDefault="00D958BC" w:rsidP="00D958BC">
            <w:pPr>
              <w:tabs>
                <w:tab w:val="right" w:pos="2410"/>
                <w:tab w:val="left" w:pos="2694"/>
              </w:tabs>
              <w:jc w:val="both"/>
              <w:rPr>
                <w:rFonts w:ascii="Arial" w:eastAsia="Cambria" w:hAnsi="Arial" w:cs="Arial"/>
                <w:b/>
                <w:sz w:val="22"/>
                <w:szCs w:val="22"/>
                <w:highlight w:val="yellow"/>
                <w:lang w:eastAsia="en-US"/>
              </w:rPr>
            </w:pPr>
          </w:p>
        </w:tc>
      </w:tr>
    </w:tbl>
    <w:p w:rsidR="00D958BC" w:rsidRDefault="00D958BC" w:rsidP="00D958BC">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E5F1D" w:rsidRDefault="004E5F1D" w:rsidP="00D958BC">
      <w:pPr>
        <w:jc w:val="both"/>
        <w:rPr>
          <w:rFonts w:ascii="Arial" w:eastAsia="Cambria" w:hAnsi="Arial" w:cs="Arial"/>
          <w:lang w:val="es-ES_tradnl" w:eastAsia="en-US"/>
        </w:rPr>
      </w:pPr>
    </w:p>
    <w:p w:rsidR="004E5F1D" w:rsidRPr="004E5F1D" w:rsidRDefault="004E5F1D" w:rsidP="004E5F1D">
      <w:pPr>
        <w:jc w:val="both"/>
        <w:rPr>
          <w:rFonts w:ascii="Arial" w:hAnsi="Arial" w:cs="Arial"/>
          <w:b/>
          <w:lang w:val="x-none"/>
        </w:rPr>
      </w:pPr>
      <w:r w:rsidRPr="004E5F1D">
        <w:rPr>
          <w:rFonts w:ascii="Arial" w:hAnsi="Arial" w:cs="Arial"/>
          <w:b/>
          <w:lang w:val="x-none"/>
        </w:rPr>
        <w:t>RESULTANDO QUE:</w:t>
      </w:r>
    </w:p>
    <w:p w:rsidR="004E5F1D" w:rsidRPr="004E5F1D" w:rsidRDefault="004E5F1D" w:rsidP="004E5F1D">
      <w:pPr>
        <w:jc w:val="both"/>
        <w:rPr>
          <w:rFonts w:ascii="Arial" w:hAnsi="Arial" w:cs="Arial"/>
          <w:b/>
          <w:lang w:val="x-none"/>
        </w:rPr>
      </w:pPr>
    </w:p>
    <w:p w:rsidR="004E5F1D" w:rsidRPr="004E5F1D" w:rsidRDefault="004E5F1D" w:rsidP="004E5F1D">
      <w:pPr>
        <w:numPr>
          <w:ilvl w:val="0"/>
          <w:numId w:val="18"/>
        </w:numPr>
        <w:ind w:left="284" w:hanging="426"/>
        <w:jc w:val="both"/>
        <w:rPr>
          <w:rFonts w:ascii="Arial" w:hAnsi="Arial" w:cs="Arial"/>
          <w:i/>
          <w:lang w:val="es-CR" w:eastAsia="es-CR"/>
        </w:rPr>
      </w:pPr>
      <w:r w:rsidRPr="004E5F1D">
        <w:rPr>
          <w:rFonts w:ascii="Arial" w:hAnsi="Arial" w:cs="Arial"/>
          <w:lang w:val="es-CR" w:eastAsia="es-CR"/>
        </w:rPr>
        <w:t>El Estatuto Orgánico del ITCR, en sus Artículos 18, inciso c, 139, 141, 142, establece:</w:t>
      </w:r>
    </w:p>
    <w:p w:rsidR="004E5F1D" w:rsidRPr="004E5F1D" w:rsidRDefault="004E5F1D" w:rsidP="004E5F1D">
      <w:pPr>
        <w:ind w:left="284"/>
        <w:jc w:val="both"/>
        <w:rPr>
          <w:rFonts w:ascii="Arial" w:hAnsi="Arial" w:cs="Arial"/>
          <w:i/>
          <w:sz w:val="22"/>
          <w:szCs w:val="22"/>
          <w:lang w:val="es-CR" w:eastAsia="es-CR"/>
        </w:rPr>
      </w:pPr>
    </w:p>
    <w:p w:rsidR="004E5F1D" w:rsidRPr="004E5F1D" w:rsidRDefault="004E5F1D" w:rsidP="004E5F1D">
      <w:pPr>
        <w:ind w:left="284"/>
        <w:jc w:val="both"/>
        <w:rPr>
          <w:rFonts w:ascii="Arial" w:eastAsia="Calibri" w:hAnsi="Arial" w:cs="Arial"/>
          <w:i/>
          <w:sz w:val="22"/>
          <w:szCs w:val="22"/>
        </w:rPr>
      </w:pPr>
      <w:r w:rsidRPr="004E5F1D">
        <w:rPr>
          <w:rFonts w:ascii="Arial" w:eastAsia="Calibri" w:hAnsi="Arial" w:cs="Arial"/>
          <w:lang w:val="es-CR"/>
        </w:rPr>
        <w:t>“</w:t>
      </w:r>
      <w:r w:rsidRPr="004E5F1D">
        <w:rPr>
          <w:rFonts w:ascii="Arial" w:eastAsia="Calibri" w:hAnsi="Arial" w:cs="Arial"/>
          <w:i/>
          <w:sz w:val="22"/>
          <w:szCs w:val="22"/>
        </w:rPr>
        <w:t xml:space="preserve">Artículo 18 </w:t>
      </w:r>
    </w:p>
    <w:p w:rsidR="004E5F1D" w:rsidRPr="004E5F1D" w:rsidRDefault="004E5F1D" w:rsidP="004E5F1D">
      <w:pPr>
        <w:ind w:left="284"/>
        <w:jc w:val="both"/>
        <w:rPr>
          <w:rFonts w:ascii="Arial" w:eastAsia="Calibri" w:hAnsi="Arial" w:cs="Arial"/>
          <w:i/>
          <w:sz w:val="22"/>
          <w:szCs w:val="22"/>
        </w:rPr>
      </w:pPr>
    </w:p>
    <w:p w:rsidR="004E5F1D" w:rsidRPr="004E5F1D" w:rsidRDefault="004E5F1D" w:rsidP="004E5F1D">
      <w:pPr>
        <w:ind w:left="284"/>
        <w:rPr>
          <w:rFonts w:ascii="Arial" w:hAnsi="Arial" w:cs="Arial"/>
          <w:i/>
          <w:sz w:val="22"/>
          <w:szCs w:val="22"/>
          <w:lang w:val="es-CR" w:eastAsia="es-CR"/>
        </w:rPr>
      </w:pPr>
      <w:r w:rsidRPr="004E5F1D">
        <w:rPr>
          <w:rFonts w:ascii="Arial" w:hAnsi="Arial" w:cs="Arial"/>
          <w:i/>
          <w:sz w:val="22"/>
          <w:szCs w:val="22"/>
          <w:lang w:val="es-CR" w:eastAsia="es-CR"/>
        </w:rPr>
        <w:t xml:space="preserve">“Son funciones del Consejo Institucional: </w:t>
      </w:r>
    </w:p>
    <w:p w:rsidR="004E5F1D" w:rsidRPr="004E5F1D" w:rsidRDefault="004E5F1D" w:rsidP="004E5F1D">
      <w:pPr>
        <w:ind w:left="284"/>
        <w:jc w:val="both"/>
        <w:rPr>
          <w:rFonts w:ascii="Arial" w:hAnsi="Arial" w:cs="Arial"/>
          <w:i/>
          <w:sz w:val="22"/>
          <w:szCs w:val="22"/>
          <w:lang w:val="es-CR" w:eastAsia="es-CR"/>
        </w:rPr>
      </w:pPr>
      <w:r w:rsidRPr="004E5F1D">
        <w:rPr>
          <w:rFonts w:ascii="Arial" w:hAnsi="Arial" w:cs="Arial"/>
          <w:i/>
          <w:sz w:val="22"/>
          <w:szCs w:val="22"/>
          <w:lang w:val="es-CR" w:eastAsia="es-CR"/>
        </w:rPr>
        <w:t>…..</w:t>
      </w:r>
    </w:p>
    <w:p w:rsidR="004E5F1D" w:rsidRPr="004E5F1D" w:rsidRDefault="004E5F1D" w:rsidP="004E5F1D">
      <w:pPr>
        <w:jc w:val="both"/>
        <w:rPr>
          <w:rFonts w:ascii="Arial" w:hAnsi="Arial" w:cs="Arial"/>
          <w:i/>
          <w:sz w:val="22"/>
          <w:szCs w:val="22"/>
          <w:lang w:val="es-CR" w:eastAsia="es-CR"/>
        </w:rPr>
      </w:pPr>
    </w:p>
    <w:p w:rsidR="004E5F1D" w:rsidRPr="004E5F1D" w:rsidRDefault="004E5F1D" w:rsidP="007D6527">
      <w:pPr>
        <w:ind w:left="567" w:hanging="283"/>
        <w:jc w:val="both"/>
        <w:rPr>
          <w:rFonts w:ascii="Arial" w:hAnsi="Arial" w:cs="Arial"/>
          <w:i/>
          <w:sz w:val="22"/>
          <w:szCs w:val="22"/>
          <w:lang w:val="x-none"/>
        </w:rPr>
      </w:pPr>
      <w:r w:rsidRPr="004E5F1D">
        <w:rPr>
          <w:rFonts w:ascii="Arial" w:hAnsi="Arial" w:cs="Arial"/>
          <w:i/>
          <w:sz w:val="22"/>
          <w:szCs w:val="22"/>
          <w:lang w:val="es-CR"/>
        </w:rPr>
        <w:t xml:space="preserve">c. </w:t>
      </w:r>
      <w:r w:rsidRPr="004E5F1D">
        <w:rPr>
          <w:rFonts w:ascii="Arial" w:hAnsi="Arial" w:cs="Arial"/>
          <w:i/>
          <w:sz w:val="22"/>
          <w:szCs w:val="22"/>
          <w:lang w:val="x-none"/>
        </w:rPr>
        <w:t>Modificar e interpretar el Estatuto Orgánico dentro del ámbito de su competencia y de acuerdo con los procedimientos establecidos al efecto en este Estatuto Orgánico</w:t>
      </w:r>
      <w:r w:rsidRPr="004E5F1D">
        <w:rPr>
          <w:rFonts w:ascii="Arial" w:hAnsi="Arial" w:cs="Arial"/>
          <w:i/>
          <w:sz w:val="22"/>
          <w:szCs w:val="22"/>
          <w:lang w:val="es-CR"/>
        </w:rPr>
        <w:t>”</w:t>
      </w:r>
      <w:r w:rsidRPr="004E5F1D">
        <w:rPr>
          <w:rFonts w:ascii="Arial" w:hAnsi="Arial" w:cs="Arial"/>
          <w:i/>
          <w:sz w:val="22"/>
          <w:szCs w:val="22"/>
          <w:lang w:val="x-none"/>
        </w:rPr>
        <w:t>.</w:t>
      </w:r>
    </w:p>
    <w:p w:rsidR="004E5F1D" w:rsidRPr="004E5F1D" w:rsidRDefault="004E5F1D" w:rsidP="004E5F1D">
      <w:pPr>
        <w:numPr>
          <w:ilvl w:val="0"/>
          <w:numId w:val="17"/>
        </w:num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 xml:space="preserve">“Artículo 139 </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“La Asamblea Institucional Representativa cuenta con plenas facultades para reformar e interpretar el Estatuto Orgánico en su totalidad.</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En particular, serán de competencia exclusiva de la Asamblea Institucional Representativa, las reformas e interpretaciones del Estatuto Orgánico indicadas a continuación:</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a. Las referidas a la integración y funciones de la Asamblea Institucional</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lastRenderedPageBreak/>
        <w:t>b. Las referidas a la integración y funciones del Congreso Institucional</w:t>
      </w:r>
    </w:p>
    <w:p w:rsidR="004E5F1D" w:rsidRPr="004E5F1D" w:rsidRDefault="004E5F1D" w:rsidP="004E5F1D">
      <w:pPr>
        <w:spacing w:before="100" w:beforeAutospacing="1" w:after="100" w:afterAutospacing="1"/>
        <w:ind w:left="567" w:hanging="283"/>
        <w:rPr>
          <w:rFonts w:ascii="Arial" w:hAnsi="Arial" w:cs="Arial"/>
          <w:i/>
          <w:sz w:val="22"/>
          <w:szCs w:val="22"/>
          <w:lang w:val="es-CR" w:eastAsia="es-CR"/>
        </w:rPr>
      </w:pPr>
      <w:r w:rsidRPr="004E5F1D">
        <w:rPr>
          <w:rFonts w:ascii="Arial" w:hAnsi="Arial" w:cs="Arial"/>
          <w:i/>
          <w:sz w:val="22"/>
          <w:szCs w:val="22"/>
          <w:lang w:val="es-CR" w:eastAsia="es-CR"/>
        </w:rPr>
        <w:t>c. Las referidas a la integración y funciones del Directorio de la Asamblea Institucional Representativa</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d. Las referidas a la integración y funciones del Consejo Institucional</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e. Las referidas a la integración y funciones del Tribunal Institucional Electoral</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f. Las referidas a las funciones del rector</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g. Las referidas a los fines y principios del Instituto</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h. Las referidas al capítulo de reformas del Estatuto Orgánico</w:t>
      </w:r>
    </w:p>
    <w:p w:rsidR="004E5F1D" w:rsidRPr="004E5F1D" w:rsidRDefault="004E5F1D" w:rsidP="004E5F1D">
      <w:pPr>
        <w:spacing w:before="100" w:beforeAutospacing="1" w:after="100" w:afterAutospacing="1"/>
        <w:ind w:left="284"/>
        <w:rPr>
          <w:rFonts w:ascii="Arial" w:eastAsia="Cambria" w:hAnsi="Arial" w:cs="Arial"/>
          <w:i/>
          <w:sz w:val="22"/>
          <w:szCs w:val="22"/>
          <w:highlight w:val="yellow"/>
          <w:lang w:val="es-ES_tradnl" w:eastAsia="en-US"/>
        </w:rPr>
      </w:pPr>
      <w:r w:rsidRPr="004E5F1D">
        <w:rPr>
          <w:rFonts w:ascii="Arial" w:hAnsi="Arial" w:cs="Arial"/>
          <w:i/>
          <w:sz w:val="22"/>
          <w:szCs w:val="22"/>
          <w:lang w:val="es-CR" w:eastAsia="es-CR"/>
        </w:rPr>
        <w:t>i. La reforma total del Estatuto Orgánico”.</w:t>
      </w:r>
    </w:p>
    <w:p w:rsidR="004E5F1D" w:rsidRPr="004E5F1D" w:rsidRDefault="004E5F1D" w:rsidP="004E5F1D">
      <w:pPr>
        <w:spacing w:before="100" w:beforeAutospacing="1" w:after="100" w:afterAutospacing="1"/>
        <w:ind w:left="568" w:hanging="284"/>
        <w:rPr>
          <w:rFonts w:ascii="Arial" w:hAnsi="Arial" w:cs="Arial"/>
          <w:i/>
          <w:sz w:val="22"/>
          <w:szCs w:val="22"/>
          <w:lang w:val="es-CR" w:eastAsia="es-CR"/>
        </w:rPr>
      </w:pPr>
      <w:r w:rsidRPr="004E5F1D">
        <w:rPr>
          <w:rFonts w:ascii="Arial" w:hAnsi="Arial" w:cs="Arial"/>
          <w:i/>
          <w:sz w:val="22"/>
          <w:szCs w:val="22"/>
          <w:lang w:val="es-CR" w:eastAsia="es-CR"/>
        </w:rPr>
        <w:t xml:space="preserve"> “Artículo 141: </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El Consejo Institucional solo podrá realizar reformas e interpretaciones al Estatuto Orgánico relacionadas con órganos que se encuentren bajo su jerarquía, siempre que tales reformas e interpretaciones no invadan el ámbito de competencia exclusiva de la Asamblea Institucional Representativa.</w:t>
      </w:r>
    </w:p>
    <w:p w:rsidR="004E5F1D" w:rsidRPr="004E5F1D" w:rsidRDefault="004E5F1D" w:rsidP="004E5F1D">
      <w:pPr>
        <w:ind w:left="284"/>
        <w:jc w:val="both"/>
        <w:rPr>
          <w:rFonts w:ascii="Arial" w:eastAsia="Cambria" w:hAnsi="Arial" w:cs="Arial"/>
          <w:b/>
          <w:i/>
          <w:sz w:val="22"/>
          <w:szCs w:val="22"/>
          <w:lang w:val="es-ES_tradnl" w:eastAsia="en-US"/>
        </w:rPr>
      </w:pPr>
      <w:r w:rsidRPr="004E5F1D">
        <w:rPr>
          <w:rFonts w:ascii="Arial" w:hAnsi="Arial" w:cs="Arial"/>
          <w:i/>
          <w:sz w:val="22"/>
          <w:szCs w:val="22"/>
          <w:lang w:val="es-CR" w:eastAsia="es-CR"/>
        </w:rPr>
        <w:t>Las reformas e interpretaciones al Estatuto Orgánico aprobadas en firme por el Consejo Institucional dentro del ámbito de su competencia, entrarán en vigencia un día hábil después de su publicación”.</w:t>
      </w:r>
    </w:p>
    <w:p w:rsidR="004E5F1D" w:rsidRPr="004E5F1D" w:rsidRDefault="004E5F1D" w:rsidP="004E5F1D">
      <w:pPr>
        <w:jc w:val="both"/>
        <w:rPr>
          <w:rFonts w:ascii="Arial" w:hAnsi="Arial" w:cs="Arial"/>
          <w:b/>
          <w:lang w:val="x-none"/>
        </w:rPr>
      </w:pPr>
    </w:p>
    <w:p w:rsidR="004E5F1D" w:rsidRPr="004E5F1D" w:rsidRDefault="004E5F1D" w:rsidP="004E5F1D">
      <w:pPr>
        <w:ind w:left="284"/>
        <w:jc w:val="both"/>
        <w:rPr>
          <w:rFonts w:ascii="Arial" w:eastAsia="Calibri" w:hAnsi="Arial" w:cs="Arial"/>
          <w:i/>
          <w:sz w:val="22"/>
          <w:szCs w:val="22"/>
        </w:rPr>
      </w:pPr>
      <w:r w:rsidRPr="004E5F1D">
        <w:rPr>
          <w:rFonts w:ascii="Arial" w:eastAsia="Calibri" w:hAnsi="Arial" w:cs="Arial"/>
          <w:i/>
          <w:sz w:val="22"/>
          <w:szCs w:val="22"/>
        </w:rPr>
        <w:t>Artículo 142:</w:t>
      </w:r>
    </w:p>
    <w:p w:rsidR="004E5F1D" w:rsidRPr="004E5F1D" w:rsidRDefault="004E5F1D" w:rsidP="004E5F1D">
      <w:pPr>
        <w:ind w:left="284"/>
        <w:jc w:val="both"/>
        <w:rPr>
          <w:rFonts w:ascii="Arial" w:eastAsia="Calibri" w:hAnsi="Arial" w:cs="Arial"/>
        </w:rPr>
      </w:pPr>
    </w:p>
    <w:p w:rsidR="004E5F1D" w:rsidRPr="004E5F1D" w:rsidRDefault="004E5F1D" w:rsidP="004E5F1D">
      <w:pPr>
        <w:ind w:left="284"/>
        <w:jc w:val="both"/>
        <w:rPr>
          <w:rFonts w:ascii="Arial" w:hAnsi="Arial" w:cs="Arial"/>
          <w:i/>
          <w:sz w:val="22"/>
          <w:szCs w:val="22"/>
          <w:lang w:val="es-CR" w:eastAsia="es-CR"/>
        </w:rPr>
      </w:pPr>
      <w:r w:rsidRPr="004E5F1D">
        <w:rPr>
          <w:rFonts w:ascii="Arial" w:hAnsi="Arial" w:cs="Arial"/>
          <w:i/>
          <w:sz w:val="22"/>
          <w:szCs w:val="22"/>
          <w:lang w:val="es-CR" w:eastAsia="es-CR"/>
        </w:rPr>
        <w:t>“Las iniciativas de reforma e interpretación al Estatuto Orgánico tramitadas por el Consejo Institucional, cuyo alcance se encuentre dentro de su ámbito de competencia, serán estudiadas por una comisión permanente de este último.</w:t>
      </w:r>
    </w:p>
    <w:p w:rsidR="004E5F1D" w:rsidRPr="004E5F1D" w:rsidRDefault="004E5F1D" w:rsidP="004E5F1D">
      <w:pPr>
        <w:ind w:left="284"/>
        <w:jc w:val="both"/>
        <w:rPr>
          <w:rFonts w:ascii="Arial" w:hAnsi="Arial" w:cs="Arial"/>
          <w:i/>
          <w:sz w:val="22"/>
          <w:szCs w:val="22"/>
          <w:lang w:val="es-CR" w:eastAsia="es-CR"/>
        </w:rPr>
      </w:pPr>
      <w:r w:rsidRPr="004E5F1D">
        <w:rPr>
          <w:rFonts w:ascii="Arial" w:hAnsi="Arial" w:cs="Arial"/>
          <w:i/>
          <w:sz w:val="22"/>
          <w:szCs w:val="22"/>
          <w:lang w:val="es-CR" w:eastAsia="es-CR"/>
        </w:rPr>
        <w:t>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rsidR="004E5F1D" w:rsidRPr="004E5F1D" w:rsidRDefault="004E5F1D" w:rsidP="004E5F1D">
      <w:pPr>
        <w:ind w:left="284"/>
        <w:jc w:val="both"/>
        <w:rPr>
          <w:rFonts w:ascii="Arial" w:hAnsi="Arial" w:cs="Arial"/>
          <w:i/>
          <w:sz w:val="22"/>
          <w:szCs w:val="22"/>
          <w:lang w:val="es-CR" w:eastAsia="es-CR"/>
        </w:rPr>
      </w:pPr>
      <w:r w:rsidRPr="004E5F1D">
        <w:rPr>
          <w:rFonts w:ascii="Arial" w:hAnsi="Arial" w:cs="Arial"/>
          <w:i/>
          <w:sz w:val="22"/>
          <w:szCs w:val="22"/>
          <w:lang w:val="es-CR" w:eastAsia="es-CR"/>
        </w:rPr>
        <w:t>Este tipo de reformas e interpretaciones al Estatuto Orgánico deberá ser aprobada por el Consejo Institucional en dos sesiones ordinarias y con al menos el voto afirmativo de las dos terceras partes de sus miembros.</w:t>
      </w:r>
    </w:p>
    <w:p w:rsidR="004E5F1D" w:rsidRPr="004E5F1D" w:rsidRDefault="004E5F1D" w:rsidP="004E5F1D">
      <w:pPr>
        <w:ind w:left="284"/>
        <w:jc w:val="both"/>
        <w:rPr>
          <w:rFonts w:ascii="Arial" w:hAnsi="Arial" w:cs="Arial"/>
          <w:i/>
          <w:sz w:val="22"/>
          <w:szCs w:val="22"/>
          <w:lang w:val="es-CR" w:eastAsia="es-CR"/>
        </w:rPr>
      </w:pPr>
      <w:r w:rsidRPr="004E5F1D">
        <w:rPr>
          <w:rFonts w:ascii="Arial" w:hAnsi="Arial" w:cs="Arial"/>
          <w:i/>
          <w:sz w:val="22"/>
          <w:szCs w:val="22"/>
          <w:lang w:val="es-CR" w:eastAsia="es-CR"/>
        </w:rPr>
        <w:t>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rsidR="004E5F1D" w:rsidRPr="004E5F1D" w:rsidRDefault="004E5F1D" w:rsidP="004E5F1D">
      <w:pPr>
        <w:ind w:left="284"/>
        <w:jc w:val="both"/>
        <w:rPr>
          <w:rFonts w:ascii="Arial" w:hAnsi="Arial" w:cs="Arial"/>
          <w:i/>
          <w:sz w:val="22"/>
          <w:szCs w:val="22"/>
          <w:lang w:val="es-CR" w:eastAsia="es-CR"/>
        </w:rPr>
      </w:pPr>
    </w:p>
    <w:p w:rsidR="004E5F1D" w:rsidRPr="004E5F1D" w:rsidRDefault="004E5F1D" w:rsidP="004E5F1D">
      <w:pPr>
        <w:numPr>
          <w:ilvl w:val="0"/>
          <w:numId w:val="18"/>
        </w:numPr>
        <w:ind w:left="284" w:hanging="426"/>
        <w:jc w:val="both"/>
        <w:rPr>
          <w:rFonts w:ascii="Arial" w:hAnsi="Arial" w:cs="Arial"/>
          <w:lang w:val="es-ES_tradnl" w:eastAsia="en-US"/>
        </w:rPr>
      </w:pPr>
      <w:r w:rsidRPr="004E5F1D">
        <w:rPr>
          <w:rFonts w:ascii="Arial" w:hAnsi="Arial" w:cs="Arial"/>
          <w:lang w:val="es-ES_tradnl" w:eastAsia="en-US"/>
        </w:rPr>
        <w:t>El Consejo Institucional en Sesión Ordinaria No. 2989, Artículo 12, del 14 de setiembre de 2016, acuerda realizar consulta a la Comunidad Institucional “Interpretación de los Artículos del Estatuto Orgánico del ITCR, relacionados con el cálculo de la Representación Estudiantil en los órganos de toma de decisiones”.</w:t>
      </w:r>
    </w:p>
    <w:p w:rsidR="004E5F1D" w:rsidRPr="004E5F1D" w:rsidRDefault="004E5F1D" w:rsidP="004E5F1D">
      <w:pPr>
        <w:ind w:left="284"/>
        <w:jc w:val="both"/>
        <w:rPr>
          <w:rFonts w:ascii="Arial" w:hAnsi="Arial" w:cs="Arial"/>
          <w:lang w:val="es-ES_tradnl" w:eastAsia="en-US"/>
        </w:rPr>
      </w:pPr>
    </w:p>
    <w:p w:rsidR="004E5F1D" w:rsidRPr="004E5F1D" w:rsidRDefault="004E5F1D" w:rsidP="004E5F1D">
      <w:pPr>
        <w:numPr>
          <w:ilvl w:val="0"/>
          <w:numId w:val="18"/>
        </w:numPr>
        <w:ind w:left="284" w:hanging="426"/>
        <w:jc w:val="both"/>
        <w:rPr>
          <w:rFonts w:ascii="Arial" w:hAnsi="Arial" w:cs="Arial"/>
          <w:lang w:val="es-ES_tradnl" w:eastAsia="en-US"/>
        </w:rPr>
      </w:pPr>
      <w:r w:rsidRPr="004E5F1D">
        <w:rPr>
          <w:rFonts w:ascii="Arial" w:hAnsi="Arial" w:cs="Arial"/>
          <w:lang w:val="es-ES_tradnl" w:eastAsia="en-US"/>
        </w:rPr>
        <w:t xml:space="preserve">La Secretaría del Consejo Institucional, recibe oficio TIE-484-2016, </w:t>
      </w:r>
      <w:proofErr w:type="gramStart"/>
      <w:r w:rsidRPr="004E5F1D">
        <w:rPr>
          <w:rFonts w:ascii="Arial" w:hAnsi="Arial" w:cs="Arial"/>
          <w:lang w:val="es-ES_tradnl" w:eastAsia="en-US"/>
        </w:rPr>
        <w:t>suscrita</w:t>
      </w:r>
      <w:proofErr w:type="gramEnd"/>
      <w:r w:rsidRPr="004E5F1D">
        <w:rPr>
          <w:rFonts w:ascii="Arial" w:hAnsi="Arial" w:cs="Arial"/>
          <w:lang w:val="es-ES_tradnl" w:eastAsia="en-US"/>
        </w:rPr>
        <w:t xml:space="preserve"> por el M.A. Marvin Santos Varela, Presidente del Tribunal Institucional Electoral, dirigida </w:t>
      </w:r>
      <w:r w:rsidRPr="004E5F1D">
        <w:rPr>
          <w:rFonts w:ascii="Arial" w:hAnsi="Arial" w:cs="Arial"/>
          <w:lang w:val="es-ES_tradnl" w:eastAsia="en-US"/>
        </w:rPr>
        <w:lastRenderedPageBreak/>
        <w:t xml:space="preserve">a la Licda. </w:t>
      </w:r>
      <w:proofErr w:type="spellStart"/>
      <w:r w:rsidRPr="004E5F1D">
        <w:rPr>
          <w:rFonts w:ascii="Arial" w:hAnsi="Arial" w:cs="Arial"/>
          <w:lang w:val="es-ES_tradnl" w:eastAsia="en-US"/>
        </w:rPr>
        <w:t>Bertalía</w:t>
      </w:r>
      <w:proofErr w:type="spellEnd"/>
      <w:r w:rsidRPr="004E5F1D">
        <w:rPr>
          <w:rFonts w:ascii="Arial" w:hAnsi="Arial" w:cs="Arial"/>
          <w:lang w:val="es-ES_tradnl" w:eastAsia="en-US"/>
        </w:rPr>
        <w:t xml:space="preserve"> Sánchez Salas, Directora Ejecutiva de la Secretaría del Consejo Institucional, en el cual remite las observaciones a la Consulta a la Comunidad “Interpretación de los Artículos del Estatuto Orgánico del ITCR, relacionados con el cálculo de la Representación Estudiantil en los órganos de toma de decisiones”.</w:t>
      </w:r>
    </w:p>
    <w:p w:rsidR="004E5F1D" w:rsidRPr="004E5F1D" w:rsidRDefault="004E5F1D" w:rsidP="004E5F1D">
      <w:pPr>
        <w:ind w:left="708"/>
        <w:rPr>
          <w:rFonts w:ascii="Arial" w:hAnsi="Arial" w:cs="Arial"/>
          <w:lang w:val="es-CR"/>
        </w:rPr>
      </w:pPr>
    </w:p>
    <w:p w:rsidR="004E5F1D" w:rsidRPr="004E5F1D" w:rsidRDefault="004E5F1D" w:rsidP="004E5F1D">
      <w:pPr>
        <w:numPr>
          <w:ilvl w:val="0"/>
          <w:numId w:val="18"/>
        </w:numPr>
        <w:ind w:left="284" w:hanging="426"/>
        <w:jc w:val="both"/>
        <w:rPr>
          <w:rFonts w:ascii="Arial" w:hAnsi="Arial" w:cs="Arial"/>
          <w:lang w:val="es-ES_tradnl" w:eastAsia="en-US"/>
        </w:rPr>
      </w:pPr>
      <w:r w:rsidRPr="004E5F1D">
        <w:rPr>
          <w:rFonts w:ascii="Arial" w:hAnsi="Arial" w:cs="Arial"/>
          <w:lang w:val="es-ES_tradnl" w:eastAsia="en-US"/>
        </w:rPr>
        <w:t>La Secretaría del Consejo Institucional, recibe oficio VIESA 398-2016, del 29 de setiembre de 2016, suscrito por la Dra. Claudia Madrizova M., Vicerrectora de VIESA, dirigido al Dr. Julio Calvo Alvarado, Presidente del Consejo Institucional, en el cual remite las observaciones a la Consulta a la Comunidad “Interpretación de los Artículos del Estatuto Orgánico del ITCR, relacionados con el cálculo de la Representación Estudiantil en los órganos de toma de decisiones”.</w:t>
      </w:r>
    </w:p>
    <w:p w:rsidR="004E5F1D" w:rsidRPr="004E5F1D" w:rsidRDefault="004E5F1D" w:rsidP="004E5F1D">
      <w:pPr>
        <w:jc w:val="both"/>
        <w:rPr>
          <w:rFonts w:ascii="Arial" w:hAnsi="Arial" w:cs="Arial"/>
          <w:lang w:val="es-ES_tradnl" w:eastAsia="en-US"/>
        </w:rPr>
      </w:pPr>
    </w:p>
    <w:p w:rsidR="004E5F1D" w:rsidRPr="004E5F1D" w:rsidRDefault="004E5F1D" w:rsidP="004E5F1D">
      <w:pPr>
        <w:numPr>
          <w:ilvl w:val="0"/>
          <w:numId w:val="18"/>
        </w:numPr>
        <w:ind w:left="284" w:hanging="426"/>
        <w:jc w:val="both"/>
        <w:rPr>
          <w:rFonts w:ascii="Arial" w:hAnsi="Arial" w:cs="Arial"/>
          <w:lang w:val="es-ES_tradnl" w:eastAsia="en-US"/>
        </w:rPr>
      </w:pPr>
      <w:r w:rsidRPr="004E5F1D">
        <w:rPr>
          <w:rFonts w:ascii="Arial" w:hAnsi="Arial" w:cs="Arial"/>
          <w:lang w:val="es-ES_tradnl" w:eastAsia="en-US"/>
        </w:rPr>
        <w:t xml:space="preserve">La Secretaría Consejo Institucional, recibe oficio DOP-269-2016, del 29 de setiembre de 2016, suscrito por la </w:t>
      </w:r>
      <w:proofErr w:type="spellStart"/>
      <w:r w:rsidRPr="004E5F1D">
        <w:rPr>
          <w:rFonts w:ascii="Arial" w:hAnsi="Arial" w:cs="Arial"/>
          <w:lang w:val="es-ES_tradnl" w:eastAsia="en-US"/>
        </w:rPr>
        <w:t>MSc</w:t>
      </w:r>
      <w:proofErr w:type="spellEnd"/>
      <w:r w:rsidRPr="004E5F1D">
        <w:rPr>
          <w:rFonts w:ascii="Arial" w:hAnsi="Arial" w:cs="Arial"/>
          <w:lang w:val="es-ES_tradnl" w:eastAsia="en-US"/>
        </w:rPr>
        <w:t xml:space="preserve">. Laura Pizarro, Directora del Departamento de Orientación y Psicología, dirigido a la Licda. </w:t>
      </w:r>
      <w:proofErr w:type="spellStart"/>
      <w:r w:rsidRPr="004E5F1D">
        <w:rPr>
          <w:rFonts w:ascii="Arial" w:hAnsi="Arial" w:cs="Arial"/>
          <w:lang w:val="es-ES_tradnl" w:eastAsia="en-US"/>
        </w:rPr>
        <w:t>Bertalía</w:t>
      </w:r>
      <w:proofErr w:type="spellEnd"/>
      <w:r w:rsidRPr="004E5F1D">
        <w:rPr>
          <w:rFonts w:ascii="Arial" w:hAnsi="Arial" w:cs="Arial"/>
          <w:lang w:val="es-ES_tradnl" w:eastAsia="en-US"/>
        </w:rPr>
        <w:t xml:space="preserve"> Sánchez Salas, Directora Ejecutiva de la Secretaría del Consejo Institucional, en el cual remite las observaciones a la Consulta a la Comunidad “Interpretación de los Artículos del Estatuto Orgánico del ITCR, relacionados con el cálculo de la Representación Estudiantil en los órganos de toma de decisiones”.</w:t>
      </w:r>
    </w:p>
    <w:p w:rsidR="004E5F1D" w:rsidRPr="004E5F1D" w:rsidRDefault="004E5F1D" w:rsidP="004E5F1D">
      <w:pPr>
        <w:ind w:left="708"/>
        <w:rPr>
          <w:rFonts w:ascii="Arial" w:hAnsi="Arial" w:cs="Arial"/>
          <w:lang w:val="es-CR"/>
        </w:rPr>
      </w:pPr>
    </w:p>
    <w:p w:rsidR="004E5F1D" w:rsidRPr="004E5F1D" w:rsidRDefault="004E5F1D" w:rsidP="004E5F1D">
      <w:pPr>
        <w:numPr>
          <w:ilvl w:val="0"/>
          <w:numId w:val="18"/>
        </w:numPr>
        <w:ind w:left="284" w:hanging="426"/>
        <w:jc w:val="both"/>
        <w:rPr>
          <w:rFonts w:ascii="Arial" w:hAnsi="Arial" w:cs="Arial"/>
          <w:lang w:val="es-CR" w:eastAsia="en-US"/>
        </w:rPr>
      </w:pPr>
      <w:r w:rsidRPr="004E5F1D">
        <w:rPr>
          <w:rFonts w:ascii="Arial" w:hAnsi="Arial" w:cs="Arial"/>
          <w:lang w:val="es-CR" w:eastAsia="en-US"/>
        </w:rPr>
        <w:t>En reunión de la Comisión de Estatuto Orgánico No. 237-2016, del 25 de octubre de 2016, en el análisis de las observaciones recibidas en el proceso de consulta, se detecta que por un error el período de consulta concedido, fue inferior al que se establece en el Artículo 142 del Estatuto Orgánico; por lo que en la Sesión del Consejo Institucional No. 2995, Artículo 8, del 26 de octubre de 2016, se acordó ampliar por diez días la consulta a la comunidad institucional sobre la propuesta de: “Interpretación de los Artículos del Estatuto Orgánico del ITCR, sobre el cálculo de la Representación Estudiantil en los órganos de toma de decisiones”.</w:t>
      </w:r>
    </w:p>
    <w:p w:rsidR="004E5F1D" w:rsidRPr="004E5F1D" w:rsidRDefault="004E5F1D" w:rsidP="004E5F1D">
      <w:pPr>
        <w:ind w:left="708"/>
        <w:rPr>
          <w:rFonts w:ascii="Arial" w:hAnsi="Arial" w:cs="Arial"/>
          <w:lang w:val="es-CR"/>
        </w:rPr>
      </w:pPr>
    </w:p>
    <w:p w:rsidR="004E5F1D" w:rsidRPr="004E5F1D" w:rsidRDefault="004E5F1D" w:rsidP="004E5F1D">
      <w:pPr>
        <w:numPr>
          <w:ilvl w:val="0"/>
          <w:numId w:val="18"/>
        </w:numPr>
        <w:ind w:left="284" w:hanging="426"/>
        <w:jc w:val="both"/>
        <w:rPr>
          <w:rFonts w:ascii="Arial" w:hAnsi="Arial" w:cs="Arial"/>
          <w:lang w:val="es-ES_tradnl" w:eastAsia="en-US"/>
        </w:rPr>
      </w:pPr>
      <w:r w:rsidRPr="004E5F1D">
        <w:rPr>
          <w:rFonts w:ascii="Arial" w:hAnsi="Arial" w:cs="Arial"/>
          <w:lang w:val="es-ES_tradnl" w:eastAsia="en-US"/>
        </w:rPr>
        <w:t xml:space="preserve">La Secretaría del Consejo Institucional recibe oficio DAR-535-2016, del 26 de octubre de 2016, suscrito por el Ing. Giovanny Rojas, Director del Departamento de Admisión y Registro, dirigido a la Licda. </w:t>
      </w:r>
      <w:proofErr w:type="spellStart"/>
      <w:r w:rsidRPr="004E5F1D">
        <w:rPr>
          <w:rFonts w:ascii="Arial" w:hAnsi="Arial" w:cs="Arial"/>
          <w:lang w:val="es-ES_tradnl" w:eastAsia="en-US"/>
        </w:rPr>
        <w:t>Bertalía</w:t>
      </w:r>
      <w:proofErr w:type="spellEnd"/>
      <w:r w:rsidRPr="004E5F1D">
        <w:rPr>
          <w:rFonts w:ascii="Arial" w:hAnsi="Arial" w:cs="Arial"/>
          <w:lang w:val="es-ES_tradnl" w:eastAsia="en-US"/>
        </w:rPr>
        <w:t xml:space="preserve"> Sánchez, Directora Ejecutiva de la Secretaría del Consejo Institucional, en el cual indica que en el Consejo de Departamento en Sesión Extraordinaria No. 10, del 26 de setiembre de 2016, analizó la interpretación y se manifiestan a favor de lo indicado.</w:t>
      </w:r>
    </w:p>
    <w:p w:rsidR="004E5F1D" w:rsidRPr="004E5F1D" w:rsidRDefault="004E5F1D" w:rsidP="004E5F1D">
      <w:pPr>
        <w:ind w:left="284"/>
        <w:jc w:val="both"/>
        <w:rPr>
          <w:rFonts w:ascii="Arial" w:hAnsi="Arial" w:cs="Arial"/>
          <w:lang w:val="es-ES_tradnl" w:eastAsia="en-US"/>
        </w:rPr>
      </w:pPr>
      <w:r w:rsidRPr="004E5F1D">
        <w:rPr>
          <w:rFonts w:ascii="Arial" w:hAnsi="Arial" w:cs="Arial"/>
          <w:lang w:val="es-ES_tradnl" w:eastAsia="en-US"/>
        </w:rPr>
        <w:t xml:space="preserve"> </w:t>
      </w:r>
    </w:p>
    <w:p w:rsidR="004E5F1D" w:rsidRPr="004E5F1D" w:rsidRDefault="004E5F1D" w:rsidP="004E5F1D">
      <w:pPr>
        <w:spacing w:after="200"/>
        <w:ind w:left="-142"/>
        <w:jc w:val="both"/>
        <w:rPr>
          <w:rFonts w:ascii="Arial" w:hAnsi="Arial" w:cs="Arial"/>
          <w:b/>
          <w:lang w:val="es-ES_tradnl" w:eastAsia="en-US"/>
        </w:rPr>
      </w:pPr>
      <w:r w:rsidRPr="004E5F1D">
        <w:rPr>
          <w:rFonts w:ascii="Arial" w:hAnsi="Arial" w:cs="Arial"/>
          <w:b/>
          <w:lang w:val="es-ES_tradnl" w:eastAsia="en-US"/>
        </w:rPr>
        <w:t>CONSIDERANDO QUE:</w:t>
      </w:r>
    </w:p>
    <w:p w:rsidR="004E5F1D" w:rsidRPr="004E5F1D" w:rsidRDefault="004E5F1D" w:rsidP="004E5F1D">
      <w:pPr>
        <w:numPr>
          <w:ilvl w:val="0"/>
          <w:numId w:val="19"/>
        </w:numPr>
        <w:spacing w:after="200"/>
        <w:ind w:left="284" w:hanging="426"/>
        <w:jc w:val="both"/>
        <w:rPr>
          <w:rFonts w:ascii="Arial" w:hAnsi="Arial" w:cs="Arial"/>
          <w:b/>
          <w:lang w:val="es-CR"/>
        </w:rPr>
      </w:pPr>
      <w:r w:rsidRPr="004E5F1D">
        <w:rPr>
          <w:rFonts w:ascii="Arial" w:hAnsi="Arial" w:cs="Arial"/>
          <w:lang w:val="es-CR"/>
        </w:rPr>
        <w:t>En reunión de la Comisión de Estatuto Orgánico</w:t>
      </w:r>
      <w:r w:rsidR="007D24E0">
        <w:rPr>
          <w:rFonts w:ascii="Arial" w:hAnsi="Arial" w:cs="Arial"/>
          <w:lang w:val="es-CR"/>
        </w:rPr>
        <w:t xml:space="preserve"> del ITCR,</w:t>
      </w:r>
      <w:r w:rsidRPr="004E5F1D">
        <w:rPr>
          <w:rFonts w:ascii="Arial" w:hAnsi="Arial" w:cs="Arial"/>
          <w:lang w:val="es-CR"/>
        </w:rPr>
        <w:t xml:space="preserve"> No. 240-2016, del 15 de noviembre de 2016, se revisó y discutió ampliamente las observaciones remitidas por las instancias citadas anteriormente, llegando a las siguientes conclusiones:</w:t>
      </w:r>
    </w:p>
    <w:p w:rsidR="004E5F1D" w:rsidRPr="004E5F1D" w:rsidRDefault="004E5F1D" w:rsidP="004E5F1D">
      <w:pPr>
        <w:numPr>
          <w:ilvl w:val="0"/>
          <w:numId w:val="21"/>
        </w:numPr>
        <w:spacing w:after="200"/>
        <w:jc w:val="both"/>
        <w:rPr>
          <w:rFonts w:ascii="Arial" w:hAnsi="Arial" w:cs="Arial"/>
          <w:lang w:val="es-CR"/>
        </w:rPr>
      </w:pPr>
      <w:r w:rsidRPr="004E5F1D">
        <w:rPr>
          <w:rFonts w:ascii="Arial" w:hAnsi="Arial" w:cs="Arial"/>
          <w:lang w:val="es-CR"/>
        </w:rPr>
        <w:t xml:space="preserve">El Estatuto Orgánico </w:t>
      </w:r>
      <w:r w:rsidR="007D24E0">
        <w:rPr>
          <w:rFonts w:ascii="Arial" w:hAnsi="Arial" w:cs="Arial"/>
          <w:lang w:val="es-CR"/>
        </w:rPr>
        <w:t xml:space="preserve">del ITCR, </w:t>
      </w:r>
      <w:r w:rsidRPr="004E5F1D">
        <w:rPr>
          <w:rFonts w:ascii="Arial" w:hAnsi="Arial" w:cs="Arial"/>
          <w:lang w:val="es-CR"/>
        </w:rPr>
        <w:t>garantiza al movimiento estudiantil un peso relativo del 25% en todos los órganos institucionales de toma de decisiones, a excepción del Consejo de Vicerrectoría de Vida Estudiantil, que es de un 33%.</w:t>
      </w:r>
    </w:p>
    <w:p w:rsidR="004E5F1D" w:rsidRPr="004E5F1D" w:rsidRDefault="004E5F1D" w:rsidP="004E5F1D">
      <w:pPr>
        <w:numPr>
          <w:ilvl w:val="0"/>
          <w:numId w:val="21"/>
        </w:numPr>
        <w:spacing w:after="200"/>
        <w:jc w:val="both"/>
        <w:rPr>
          <w:rFonts w:ascii="Arial" w:hAnsi="Arial" w:cs="Arial"/>
          <w:lang w:val="es-CR"/>
        </w:rPr>
      </w:pPr>
      <w:r w:rsidRPr="004E5F1D">
        <w:rPr>
          <w:rFonts w:ascii="Arial" w:hAnsi="Arial" w:cs="Arial"/>
          <w:lang w:val="es-CR"/>
        </w:rPr>
        <w:t>Calcular el porcentaje de representación estudiantil tomando de base el resto de integrantes de los órganos colegiados, es restarle peso a dicha representación, pues no es lo mismo el 25% del total de integrantes de un órgano específico, que de una parte de éste.</w:t>
      </w:r>
    </w:p>
    <w:p w:rsidR="004E5F1D" w:rsidRPr="004E5F1D" w:rsidRDefault="004E5F1D" w:rsidP="004E5F1D">
      <w:pPr>
        <w:numPr>
          <w:ilvl w:val="0"/>
          <w:numId w:val="19"/>
        </w:numPr>
        <w:spacing w:after="200"/>
        <w:ind w:left="284" w:hanging="426"/>
        <w:jc w:val="both"/>
        <w:rPr>
          <w:rFonts w:ascii="Arial" w:hAnsi="Arial" w:cs="Arial"/>
          <w:b/>
          <w:lang w:val="es-CR"/>
        </w:rPr>
      </w:pPr>
      <w:r w:rsidRPr="004E5F1D">
        <w:rPr>
          <w:rFonts w:ascii="Arial" w:hAnsi="Arial" w:cs="Arial"/>
          <w:lang w:val="es-CR"/>
        </w:rPr>
        <w:lastRenderedPageBreak/>
        <w:t>Cumplido el plazo establecido en el Artículo 142 del Estatuto Orgánico</w:t>
      </w:r>
      <w:r w:rsidR="007D24E0">
        <w:rPr>
          <w:rFonts w:ascii="Arial" w:hAnsi="Arial" w:cs="Arial"/>
          <w:lang w:val="es-CR"/>
        </w:rPr>
        <w:t xml:space="preserve"> del ITCR</w:t>
      </w:r>
      <w:r w:rsidRPr="004E5F1D">
        <w:rPr>
          <w:rFonts w:ascii="Arial" w:hAnsi="Arial" w:cs="Arial"/>
          <w:lang w:val="es-CR"/>
        </w:rPr>
        <w:t>, la Comisión eleva la siguiente propuesta.</w:t>
      </w:r>
    </w:p>
    <w:p w:rsidR="004E5F1D" w:rsidRPr="004E5F1D" w:rsidRDefault="004E5F1D" w:rsidP="004E5F1D">
      <w:pPr>
        <w:ind w:hanging="142"/>
        <w:jc w:val="both"/>
        <w:rPr>
          <w:rFonts w:ascii="Arial" w:eastAsia="Calibri" w:hAnsi="Arial" w:cs="Arial"/>
          <w:lang w:val="es-CR"/>
        </w:rPr>
      </w:pPr>
      <w:r w:rsidRPr="004E5F1D">
        <w:rPr>
          <w:rFonts w:ascii="Arial" w:eastAsia="Calibri" w:hAnsi="Arial" w:cs="Arial"/>
          <w:b/>
          <w:lang w:val="es-CR"/>
        </w:rPr>
        <w:t xml:space="preserve">SE </w:t>
      </w:r>
      <w:r>
        <w:rPr>
          <w:rFonts w:ascii="Arial" w:eastAsia="Calibri" w:hAnsi="Arial" w:cs="Arial"/>
          <w:b/>
          <w:lang w:val="es-CR"/>
        </w:rPr>
        <w:t>ACUERDA</w:t>
      </w:r>
      <w:r w:rsidRPr="004E5F1D">
        <w:rPr>
          <w:rFonts w:ascii="Arial" w:eastAsia="Calibri" w:hAnsi="Arial" w:cs="Arial"/>
          <w:b/>
          <w:lang w:val="es-CR"/>
        </w:rPr>
        <w:t>:</w:t>
      </w:r>
      <w:r w:rsidRPr="004E5F1D">
        <w:rPr>
          <w:rFonts w:ascii="Arial" w:eastAsia="Calibri" w:hAnsi="Arial" w:cs="Arial"/>
          <w:lang w:val="es-CR"/>
        </w:rPr>
        <w:t xml:space="preserve"> </w:t>
      </w:r>
    </w:p>
    <w:p w:rsidR="004E5F1D" w:rsidRPr="004E5F1D" w:rsidRDefault="004E5F1D" w:rsidP="004E5F1D">
      <w:pPr>
        <w:ind w:hanging="142"/>
        <w:jc w:val="both"/>
        <w:rPr>
          <w:rFonts w:ascii="Arial" w:eastAsia="Calibri" w:hAnsi="Arial" w:cs="Arial"/>
          <w:lang w:val="es-CR"/>
        </w:rPr>
      </w:pPr>
    </w:p>
    <w:p w:rsidR="00D958BC" w:rsidRDefault="004E5F1D" w:rsidP="004E5F1D">
      <w:pPr>
        <w:numPr>
          <w:ilvl w:val="0"/>
          <w:numId w:val="20"/>
        </w:numPr>
        <w:ind w:left="283" w:hanging="425"/>
        <w:jc w:val="both"/>
        <w:rPr>
          <w:rFonts w:ascii="Arial" w:eastAsia="Calibri" w:hAnsi="Arial" w:cs="Arial"/>
          <w:lang w:val="es-CR"/>
        </w:rPr>
      </w:pPr>
      <w:r w:rsidRPr="004E5F1D">
        <w:rPr>
          <w:rFonts w:ascii="Arial" w:eastAsia="Calibri" w:hAnsi="Arial" w:cs="Arial"/>
          <w:lang w:val="es-CR"/>
        </w:rPr>
        <w:t>Aclarar que en la conformación de los órganos referidos en los artículos 39, 41, inciso d, 43, 47, 50, 50</w:t>
      </w:r>
      <w:r w:rsidR="007D24E0">
        <w:rPr>
          <w:rFonts w:ascii="Arial" w:eastAsia="Calibri" w:hAnsi="Arial" w:cs="Arial"/>
          <w:lang w:val="es-CR"/>
        </w:rPr>
        <w:t xml:space="preserve"> </w:t>
      </w:r>
      <w:r w:rsidRPr="004E5F1D">
        <w:rPr>
          <w:rFonts w:ascii="Arial" w:eastAsia="Calibri" w:hAnsi="Arial" w:cs="Arial"/>
          <w:lang w:val="es-CR"/>
        </w:rPr>
        <w:t>(BIS), 52 (BIS), 54, 64,74, 76, 80, 83-</w:t>
      </w:r>
      <w:r w:rsidR="007D24E0">
        <w:rPr>
          <w:rFonts w:ascii="Arial" w:eastAsia="Calibri" w:hAnsi="Arial" w:cs="Arial"/>
          <w:lang w:val="es-CR"/>
        </w:rPr>
        <w:t>BIS</w:t>
      </w:r>
      <w:r w:rsidRPr="004E5F1D">
        <w:rPr>
          <w:rFonts w:ascii="Arial" w:eastAsia="Calibri" w:hAnsi="Arial" w:cs="Arial"/>
          <w:lang w:val="es-CR"/>
        </w:rPr>
        <w:t xml:space="preserve"> 4, 83-</w:t>
      </w:r>
      <w:r w:rsidR="007D24E0">
        <w:rPr>
          <w:rFonts w:ascii="Arial" w:eastAsia="Calibri" w:hAnsi="Arial" w:cs="Arial"/>
          <w:lang w:val="es-CR"/>
        </w:rPr>
        <w:t>BIS</w:t>
      </w:r>
      <w:r w:rsidRPr="004E5F1D">
        <w:rPr>
          <w:rFonts w:ascii="Arial" w:eastAsia="Calibri" w:hAnsi="Arial" w:cs="Arial"/>
          <w:lang w:val="es-CR"/>
        </w:rPr>
        <w:t xml:space="preserve"> 5, debe garantizarse que la representación estudiantil sea el 25% del total de miembros que integran el órgano, incluyendo a los estudiantes, de forma tal que el 75% restante, corresponda a los miembros no estudiantes que conforman el órgano.  En caso de que dicha representación no sea un número entero se procederá a redondear hacia arriba, si la fracción del número es mayor o igual a 0.5.  Si la fracción del número es menor a 0.5, se redondea hacia abajo.</w:t>
      </w:r>
    </w:p>
    <w:p w:rsidR="004E5F1D" w:rsidRPr="004E5F1D" w:rsidRDefault="004E5F1D" w:rsidP="004E5F1D">
      <w:pPr>
        <w:ind w:left="283"/>
        <w:jc w:val="both"/>
        <w:rPr>
          <w:rFonts w:ascii="Arial" w:eastAsia="Calibri" w:hAnsi="Arial" w:cs="Arial"/>
          <w:lang w:val="es-CR"/>
        </w:rPr>
      </w:pPr>
    </w:p>
    <w:p w:rsidR="00D958BC" w:rsidRDefault="00D958BC" w:rsidP="004E5F1D">
      <w:pPr>
        <w:numPr>
          <w:ilvl w:val="0"/>
          <w:numId w:val="20"/>
        </w:numPr>
        <w:ind w:left="283" w:hanging="425"/>
        <w:jc w:val="both"/>
        <w:rPr>
          <w:rFonts w:ascii="Arial" w:eastAsia="Calibri" w:hAnsi="Arial" w:cs="Arial"/>
          <w:b/>
        </w:rPr>
      </w:pPr>
      <w:r>
        <w:rPr>
          <w:rFonts w:ascii="Arial" w:eastAsia="Calibri" w:hAnsi="Arial" w:cs="Arial"/>
        </w:rPr>
        <w:t xml:space="preserve">Comunicar.  </w:t>
      </w:r>
      <w:r w:rsidRPr="00D958BC">
        <w:rPr>
          <w:rFonts w:ascii="Arial" w:eastAsia="Calibri" w:hAnsi="Arial" w:cs="Arial"/>
          <w:b/>
        </w:rPr>
        <w:t xml:space="preserve">ACUERDO FIRME. </w:t>
      </w:r>
    </w:p>
    <w:p w:rsidR="00534B45" w:rsidRDefault="00534B45" w:rsidP="00534B45">
      <w:pPr>
        <w:pStyle w:val="Prrafodelista"/>
        <w:rPr>
          <w:rFonts w:ascii="Arial" w:eastAsia="Calibri" w:hAnsi="Arial" w:cs="Arial"/>
          <w:b/>
        </w:rPr>
      </w:pPr>
    </w:p>
    <w:p w:rsidR="004E5F1D" w:rsidRPr="004E5F1D" w:rsidRDefault="004E5F1D" w:rsidP="004E5F1D">
      <w:pPr>
        <w:ind w:left="1701" w:hanging="1843"/>
        <w:rPr>
          <w:rFonts w:ascii="Arial" w:eastAsia="Calibri" w:hAnsi="Arial" w:cs="Arial"/>
          <w:b/>
          <w:sz w:val="20"/>
          <w:szCs w:val="20"/>
          <w:lang w:val="es-ES_tradnl"/>
        </w:rPr>
      </w:pPr>
      <w:r w:rsidRPr="004E5F1D">
        <w:rPr>
          <w:rFonts w:ascii="Arial" w:eastAsia="Calibri" w:hAnsi="Arial" w:cs="Arial"/>
          <w:b/>
          <w:sz w:val="20"/>
          <w:szCs w:val="20"/>
          <w:lang w:val="es-ES_tradnl"/>
        </w:rPr>
        <w:t>Palabras clave: Interpretación –Representación Estudiantil –</w:t>
      </w:r>
      <w:r w:rsidR="007D24E0">
        <w:rPr>
          <w:rFonts w:ascii="Arial" w:eastAsia="Calibri" w:hAnsi="Arial" w:cs="Arial"/>
          <w:b/>
          <w:sz w:val="20"/>
          <w:szCs w:val="20"/>
          <w:lang w:val="es-ES_tradnl"/>
        </w:rPr>
        <w:t xml:space="preserve"> órganos -</w:t>
      </w:r>
      <w:bookmarkStart w:id="0" w:name="_GoBack"/>
      <w:bookmarkEnd w:id="0"/>
      <w:r w:rsidRPr="004E5F1D">
        <w:rPr>
          <w:rFonts w:ascii="Arial" w:eastAsia="Calibri" w:hAnsi="Arial" w:cs="Arial"/>
          <w:b/>
          <w:sz w:val="20"/>
          <w:szCs w:val="20"/>
          <w:lang w:val="es-ES_tradnl"/>
        </w:rPr>
        <w:t xml:space="preserve"> Estatuto Orgánico </w:t>
      </w:r>
    </w:p>
    <w:p w:rsidR="00534B45" w:rsidRPr="004E5F1D" w:rsidRDefault="00534B45" w:rsidP="004E5F1D">
      <w:pPr>
        <w:ind w:right="-91"/>
        <w:jc w:val="both"/>
        <w:rPr>
          <w:rFonts w:ascii="Arial" w:eastAsia="Calibri" w:hAnsi="Arial" w:cs="Arial"/>
          <w:b/>
          <w:lang w:val="es-ES_tradnl"/>
        </w:rPr>
      </w:pPr>
    </w:p>
    <w:p w:rsidR="00D70107" w:rsidRPr="00D70107" w:rsidRDefault="00D70107" w:rsidP="00D70107">
      <w:pPr>
        <w:tabs>
          <w:tab w:val="left" w:pos="1182"/>
        </w:tabs>
        <w:autoSpaceDE w:val="0"/>
        <w:autoSpaceDN w:val="0"/>
        <w:adjustRightInd w:val="0"/>
        <w:jc w:val="both"/>
        <w:rPr>
          <w:rFonts w:ascii="Arial" w:hAnsi="Arial" w:cs="Arial"/>
          <w:sz w:val="22"/>
          <w:szCs w:val="22"/>
          <w:lang w:val="es-CR"/>
        </w:rPr>
      </w:pPr>
    </w:p>
    <w:p w:rsidR="00493856" w:rsidRPr="00D742FF" w:rsidRDefault="00493856" w:rsidP="00533095">
      <w:pPr>
        <w:jc w:val="both"/>
        <w:rPr>
          <w:rFonts w:ascii="Arial" w:hAnsi="Arial" w:cs="Arial"/>
          <w:b/>
          <w:sz w:val="16"/>
          <w:szCs w:val="16"/>
          <w:vertAlign w:val="subscript"/>
          <w:lang w:val="es-CR"/>
        </w:rPr>
      </w:pPr>
    </w:p>
    <w:p w:rsidR="001617E0" w:rsidRPr="00423D9B" w:rsidRDefault="00534B45" w:rsidP="000663DB">
      <w:pPr>
        <w:spacing w:line="360" w:lineRule="auto"/>
        <w:jc w:val="both"/>
        <w:outlineLvl w:val="0"/>
        <w:rPr>
          <w:rFonts w:ascii="Arial" w:eastAsia="Cambria" w:hAnsi="Arial" w:cs="Arial"/>
          <w:sz w:val="18"/>
          <w:szCs w:val="18"/>
          <w:lang w:val="es-ES_tradnl" w:eastAsia="en-US"/>
        </w:rPr>
      </w:pPr>
      <w:r>
        <w:rPr>
          <w:rFonts w:ascii="Arial" w:eastAsia="Cambria" w:hAnsi="Arial" w:cs="Arial"/>
          <w:sz w:val="18"/>
          <w:szCs w:val="18"/>
          <w:lang w:val="es-ES_tradnl" w:eastAsia="en-US"/>
        </w:rPr>
        <w:t>BSS/</w:t>
      </w:r>
      <w:proofErr w:type="spellStart"/>
      <w:r>
        <w:rPr>
          <w:rFonts w:ascii="Arial" w:eastAsia="Cambria" w:hAnsi="Arial" w:cs="Arial"/>
          <w:sz w:val="18"/>
          <w:szCs w:val="18"/>
          <w:lang w:val="es-ES_tradnl" w:eastAsia="en-US"/>
        </w:rPr>
        <w:t>ar</w:t>
      </w:r>
      <w:r w:rsidR="00E965FF">
        <w:rPr>
          <w:rFonts w:ascii="Arial" w:eastAsia="Cambria" w:hAnsi="Arial" w:cs="Arial"/>
          <w:sz w:val="18"/>
          <w:szCs w:val="18"/>
          <w:lang w:val="es-ES_tradnl" w:eastAsia="en-US"/>
        </w:rPr>
        <w:t>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0663DB" w:rsidRPr="000663DB" w:rsidTr="000663DB">
        <w:trPr>
          <w:trHeight w:val="284"/>
        </w:trPr>
        <w:tc>
          <w:tcPr>
            <w:tcW w:w="4361" w:type="dxa"/>
          </w:tcPr>
          <w:p w:rsidR="000663DB" w:rsidRPr="000663DB" w:rsidRDefault="000663DB" w:rsidP="00534B45">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5103" w:type="dxa"/>
            <w:gridSpan w:val="2"/>
          </w:tcPr>
          <w:p w:rsidR="000663DB" w:rsidRPr="000663DB" w:rsidRDefault="000663DB" w:rsidP="000663DB">
            <w:pPr>
              <w:jc w:val="both"/>
              <w:rPr>
                <w:rFonts w:ascii="Arial" w:eastAsia="Cambria" w:hAnsi="Arial" w:cs="Arial"/>
                <w:b/>
                <w:sz w:val="16"/>
                <w:szCs w:val="16"/>
                <w:lang w:val="es-ES_tradnl" w:eastAsia="en-US"/>
              </w:rPr>
            </w:pPr>
          </w:p>
        </w:tc>
      </w:tr>
      <w:tr w:rsidR="000663DB" w:rsidRPr="000663DB" w:rsidTr="00DC1105">
        <w:trPr>
          <w:gridAfter w:val="1"/>
          <w:wAfter w:w="4361" w:type="dxa"/>
          <w:trHeight w:val="183"/>
        </w:trPr>
        <w:tc>
          <w:tcPr>
            <w:tcW w:w="4361" w:type="dxa"/>
          </w:tcPr>
          <w:p w:rsidR="000663DB" w:rsidRDefault="000663DB" w:rsidP="000663DB">
            <w:pPr>
              <w:ind w:left="-567" w:firstLine="567"/>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ci.  Secretaría del Consejo Institucional</w:t>
            </w:r>
          </w:p>
          <w:p w:rsidR="00423D9B" w:rsidRPr="000663DB" w:rsidRDefault="00423D9B" w:rsidP="00423D9B">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Oficina Asesoría Legal </w:t>
            </w:r>
          </w:p>
          <w:p w:rsidR="00423D9B" w:rsidRPr="000663DB" w:rsidRDefault="00423D9B" w:rsidP="00423D9B">
            <w:pPr>
              <w:ind w:firstLine="34"/>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Auditoría Interna (Notificado a la Secretaria vía correo electrónico)</w:t>
            </w:r>
          </w:p>
          <w:p w:rsidR="00423D9B" w:rsidRPr="000663DB" w:rsidRDefault="00423D9B" w:rsidP="00423D9B">
            <w:pPr>
              <w:ind w:left="720" w:hanging="720"/>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Comunicación y Mercadeo </w:t>
            </w:r>
          </w:p>
          <w:p w:rsidR="00423D9B" w:rsidRPr="000663DB" w:rsidRDefault="00423D9B" w:rsidP="00423D9B">
            <w:pPr>
              <w:ind w:left="720" w:hanging="720"/>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Centro de Archivo y Comunicaciones</w:t>
            </w:r>
          </w:p>
          <w:p w:rsidR="00423D9B" w:rsidRDefault="00423D9B" w:rsidP="00423D9B">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FEITEC</w:t>
            </w:r>
          </w:p>
          <w:p w:rsidR="00423D9B" w:rsidRDefault="00423D9B" w:rsidP="00423D9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1617E0" w:rsidRPr="000663DB" w:rsidRDefault="001617E0" w:rsidP="000663DB">
            <w:pPr>
              <w:ind w:left="-567" w:firstLine="567"/>
              <w:jc w:val="both"/>
              <w:rPr>
                <w:rFonts w:ascii="Arial" w:eastAsia="Cambria" w:hAnsi="Arial" w:cs="Arial"/>
                <w:b/>
                <w:sz w:val="16"/>
                <w:szCs w:val="16"/>
                <w:lang w:val="es-ES_tradnl" w:eastAsia="en-US"/>
              </w:rPr>
            </w:pPr>
          </w:p>
          <w:p w:rsidR="000663DB" w:rsidRPr="000663DB" w:rsidRDefault="000663DB" w:rsidP="001617E0">
            <w:pPr>
              <w:jc w:val="both"/>
              <w:rPr>
                <w:rFonts w:ascii="Arial" w:eastAsia="Cambria" w:hAnsi="Arial" w:cs="Arial"/>
                <w:b/>
                <w:sz w:val="16"/>
                <w:szCs w:val="16"/>
                <w:lang w:val="es-ES_tradnl" w:eastAsia="en-US"/>
              </w:rPr>
            </w:pPr>
          </w:p>
        </w:tc>
        <w:tc>
          <w:tcPr>
            <w:tcW w:w="4361" w:type="dxa"/>
          </w:tcPr>
          <w:p w:rsidR="000663DB" w:rsidRPr="000663DB" w:rsidRDefault="001617E0" w:rsidP="00423D9B">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 </w:t>
            </w: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5103" w:type="dxa"/>
            <w:gridSpan w:val="2"/>
          </w:tcPr>
          <w:p w:rsidR="000663DB" w:rsidRPr="000663DB" w:rsidRDefault="000663DB" w:rsidP="000663DB">
            <w:pPr>
              <w:jc w:val="both"/>
              <w:rPr>
                <w:rFonts w:ascii="Arial" w:eastAsia="Cambria" w:hAnsi="Arial" w:cs="Arial"/>
                <w:b/>
                <w:sz w:val="16"/>
                <w:szCs w:val="16"/>
                <w:lang w:val="es-ES_tradnl" w:eastAsia="en-US"/>
              </w:rPr>
            </w:pPr>
          </w:p>
        </w:tc>
      </w:tr>
    </w:tbl>
    <w:p w:rsidR="00493856" w:rsidRPr="00D742FF" w:rsidRDefault="00493856" w:rsidP="00493856">
      <w:pPr>
        <w:jc w:val="both"/>
        <w:rPr>
          <w:rFonts w:ascii="Arial" w:hAnsi="Arial" w:cs="Arial"/>
          <w:b/>
          <w:i/>
          <w:sz w:val="16"/>
          <w:szCs w:val="16"/>
        </w:rPr>
      </w:pPr>
    </w:p>
    <w:tbl>
      <w:tblPr>
        <w:tblW w:w="9070" w:type="dxa"/>
        <w:tblInd w:w="-69" w:type="dxa"/>
        <w:tblCellMar>
          <w:left w:w="70" w:type="dxa"/>
          <w:right w:w="70" w:type="dxa"/>
        </w:tblCellMar>
        <w:tblLook w:val="0000" w:firstRow="0" w:lastRow="0" w:firstColumn="0" w:lastColumn="0" w:noHBand="0" w:noVBand="0"/>
      </w:tblPr>
      <w:tblGrid>
        <w:gridCol w:w="4998"/>
        <w:gridCol w:w="4072"/>
      </w:tblGrid>
      <w:tr w:rsidR="00D958BC" w:rsidTr="00C177D7">
        <w:tc>
          <w:tcPr>
            <w:tcW w:w="4998" w:type="dxa"/>
            <w:shd w:val="clear" w:color="auto" w:fill="auto"/>
          </w:tcPr>
          <w:p w:rsidR="00D958BC" w:rsidRDefault="00D958BC" w:rsidP="00D958BC">
            <w:pPr>
              <w:rPr>
                <w:rFonts w:ascii="Arial" w:hAnsi="Arial" w:cs="Arial"/>
              </w:rPr>
            </w:pPr>
          </w:p>
          <w:p w:rsidR="00D958BC" w:rsidRDefault="00D958BC" w:rsidP="00D958BC">
            <w:pPr>
              <w:rPr>
                <w:rFonts w:ascii="Arial" w:hAnsi="Arial" w:cs="Arial"/>
              </w:rPr>
            </w:pPr>
          </w:p>
        </w:tc>
        <w:tc>
          <w:tcPr>
            <w:tcW w:w="4072" w:type="dxa"/>
            <w:shd w:val="clear" w:color="auto" w:fill="auto"/>
          </w:tcPr>
          <w:p w:rsidR="00D958BC" w:rsidRDefault="00D958BC" w:rsidP="00C177D7">
            <w:pPr>
              <w:jc w:val="center"/>
              <w:rPr>
                <w:rFonts w:ascii="Arial" w:hAnsi="Arial" w:cs="Arial"/>
              </w:rPr>
            </w:pPr>
          </w:p>
        </w:tc>
      </w:tr>
    </w:tbl>
    <w:p w:rsidR="00DA0942" w:rsidRDefault="00DA0942" w:rsidP="00DA0942">
      <w:pPr>
        <w:rPr>
          <w:rFonts w:ascii="Arial" w:hAnsi="Arial" w:cs="Arial"/>
          <w:b/>
        </w:rPr>
      </w:pPr>
    </w:p>
    <w:p w:rsidR="00A07346" w:rsidRDefault="00A07346" w:rsidP="00DA0942">
      <w:pPr>
        <w:rPr>
          <w:rFonts w:ascii="Arial" w:hAnsi="Arial" w:cs="Arial"/>
          <w:b/>
        </w:rPr>
      </w:pPr>
    </w:p>
    <w:p w:rsidR="0045598E" w:rsidRDefault="0045598E" w:rsidP="00DA0942">
      <w:pPr>
        <w:rPr>
          <w:rFonts w:ascii="Arial" w:hAnsi="Arial" w:cs="Arial"/>
          <w:b/>
        </w:rPr>
      </w:pPr>
      <w:r>
        <w:rPr>
          <w:rFonts w:ascii="Arial" w:hAnsi="Arial" w:cs="Arial"/>
          <w:b/>
        </w:rPr>
        <w:br w:type="textWrapping" w:clear="all"/>
      </w:r>
    </w:p>
    <w:p w:rsidR="00CB4469" w:rsidRDefault="00CB4469" w:rsidP="00DA0942">
      <w:pPr>
        <w:rPr>
          <w:rFonts w:ascii="Arial" w:hAnsi="Arial" w:cs="Arial"/>
          <w:b/>
        </w:rPr>
      </w:pPr>
    </w:p>
    <w:p w:rsidR="00CB4469" w:rsidRDefault="00CB4469" w:rsidP="00DA0942">
      <w:pPr>
        <w:rPr>
          <w:rFonts w:ascii="Arial" w:hAnsi="Arial" w:cs="Arial"/>
          <w:b/>
        </w:rPr>
      </w:pPr>
    </w:p>
    <w:p w:rsidR="00CB4469" w:rsidRDefault="00CB4469" w:rsidP="00DA0942">
      <w:pPr>
        <w:rPr>
          <w:rFonts w:ascii="Arial" w:hAnsi="Arial" w:cs="Arial"/>
          <w:b/>
        </w:rPr>
      </w:pPr>
    </w:p>
    <w:p w:rsidR="00CB4469" w:rsidRDefault="00CB4469" w:rsidP="00DA0942">
      <w:pPr>
        <w:rPr>
          <w:rFonts w:ascii="Arial" w:hAnsi="Arial" w:cs="Arial"/>
          <w:b/>
        </w:rPr>
      </w:pPr>
    </w:p>
    <w:p w:rsidR="00CB4469" w:rsidRDefault="00CB4469" w:rsidP="00DA0942">
      <w:pPr>
        <w:rPr>
          <w:rFonts w:ascii="Arial" w:hAnsi="Arial" w:cs="Arial"/>
          <w:b/>
        </w:rPr>
      </w:pPr>
    </w:p>
    <w:sectPr w:rsidR="00CB4469"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93E" w:rsidRDefault="005B093E">
      <w:r>
        <w:separator/>
      </w:r>
    </w:p>
  </w:endnote>
  <w:endnote w:type="continuationSeparator" w:id="0">
    <w:p w:rsidR="005B093E" w:rsidRDefault="005B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679740"/>
      <w:docPartObj>
        <w:docPartGallery w:val="Page Numbers (Bottom of Page)"/>
        <w:docPartUnique/>
      </w:docPartObj>
    </w:sdtPr>
    <w:sdtEndPr/>
    <w:sdtContent>
      <w:p w:rsidR="00DF7F7A" w:rsidRDefault="005B093E">
        <w:pPr>
          <w:pStyle w:val="Piedepgina"/>
          <w:jc w:val="center"/>
        </w:pPr>
      </w:p>
    </w:sdtContent>
  </w:sdt>
  <w:p w:rsidR="00DF7F7A" w:rsidRDefault="00DF7F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93E" w:rsidRDefault="005B093E">
      <w:r>
        <w:separator/>
      </w:r>
    </w:p>
  </w:footnote>
  <w:footnote w:type="continuationSeparator" w:id="0">
    <w:p w:rsidR="005B093E" w:rsidRDefault="005B0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BC" w:rsidRPr="00D958BC" w:rsidRDefault="00D958BC" w:rsidP="00D958BC">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D958BC" w:rsidRPr="00D958BC" w:rsidRDefault="00D958BC" w:rsidP="00D958BC">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Sesión Ordinaria No. 299</w:t>
    </w:r>
    <w:r w:rsidR="006E44A4">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Artículo</w:t>
    </w:r>
    <w:r w:rsidR="00D70107">
      <w:rPr>
        <w:rFonts w:ascii="Arial" w:eastAsia="Cambria" w:hAnsi="Arial" w:cs="Arial"/>
        <w:i/>
        <w:sz w:val="18"/>
        <w:szCs w:val="18"/>
        <w:lang w:val="es-ES_tradnl" w:eastAsia="x-none"/>
      </w:rPr>
      <w:t xml:space="preserve"> 8</w:t>
    </w:r>
    <w:r w:rsidRPr="00D958BC">
      <w:rPr>
        <w:rFonts w:ascii="Arial" w:eastAsia="Cambria" w:hAnsi="Arial" w:cs="Arial"/>
        <w:i/>
        <w:sz w:val="18"/>
        <w:szCs w:val="18"/>
        <w:lang w:val="es-ES_tradnl" w:eastAsia="x-none"/>
      </w:rPr>
      <w:t xml:space="preserve">, del </w:t>
    </w:r>
    <w:r w:rsidR="006E44A4">
      <w:rPr>
        <w:rFonts w:ascii="Arial" w:eastAsia="Cambria" w:hAnsi="Arial" w:cs="Arial"/>
        <w:i/>
        <w:sz w:val="18"/>
        <w:szCs w:val="18"/>
        <w:lang w:val="es-ES_tradnl" w:eastAsia="x-none"/>
      </w:rPr>
      <w:t>23</w:t>
    </w:r>
    <w:r w:rsidRPr="00D958BC">
      <w:rPr>
        <w:rFonts w:ascii="Arial" w:eastAsia="Cambria" w:hAnsi="Arial" w:cs="Arial"/>
        <w:i/>
        <w:sz w:val="18"/>
        <w:szCs w:val="18"/>
        <w:lang w:val="es-ES_tradnl" w:eastAsia="x-none"/>
      </w:rPr>
      <w:t xml:space="preserve"> de </w:t>
    </w:r>
    <w:r w:rsidR="00D70107">
      <w:rPr>
        <w:rFonts w:ascii="Arial" w:eastAsia="Cambria" w:hAnsi="Arial" w:cs="Arial"/>
        <w:i/>
        <w:sz w:val="18"/>
        <w:szCs w:val="18"/>
        <w:lang w:val="es-ES_tradnl" w:eastAsia="x-none"/>
      </w:rPr>
      <w:t>noviem</w:t>
    </w:r>
    <w:r w:rsidRPr="00D958BC">
      <w:rPr>
        <w:rFonts w:ascii="Arial" w:eastAsia="Cambria" w:hAnsi="Arial" w:cs="Arial"/>
        <w:i/>
        <w:sz w:val="18"/>
        <w:szCs w:val="18"/>
        <w:lang w:val="es-ES_tradnl" w:eastAsia="x-none"/>
      </w:rPr>
      <w:t>bre de 2016</w:t>
    </w:r>
  </w:p>
  <w:p w:rsidR="00D958BC" w:rsidRDefault="00D958BC" w:rsidP="00D958BC">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D24E0">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D958BC" w:rsidRDefault="00D958BC" w:rsidP="00D958BC">
    <w:pPr>
      <w:tabs>
        <w:tab w:val="center" w:pos="4419"/>
        <w:tab w:val="right" w:pos="8838"/>
      </w:tabs>
      <w:rPr>
        <w:rFonts w:ascii="Arial" w:eastAsia="Cambria" w:hAnsi="Arial" w:cs="Arial"/>
        <w:i/>
        <w:sz w:val="18"/>
        <w:szCs w:val="18"/>
        <w:lang w:val="es-ES_tradnl" w:eastAsia="x-none"/>
      </w:rPr>
    </w:pPr>
  </w:p>
  <w:p w:rsidR="00D958BC" w:rsidRPr="00D958BC" w:rsidRDefault="00D958BC" w:rsidP="00D958BC">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9B331C"/>
    <w:multiLevelType w:val="hybridMultilevel"/>
    <w:tmpl w:val="CA28D7E8"/>
    <w:lvl w:ilvl="0" w:tplc="140A000D">
      <w:start w:val="1"/>
      <w:numFmt w:val="bullet"/>
      <w:lvlText w:val=""/>
      <w:lvlJc w:val="left"/>
      <w:pPr>
        <w:ind w:left="644" w:hanging="360"/>
      </w:pPr>
      <w:rPr>
        <w:rFonts w:ascii="Wingdings" w:hAnsi="Wingdings" w:hint="default"/>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abstractNum w:abstractNumId="2" w15:restartNumberingAfterBreak="0">
    <w:nsid w:val="1385153B"/>
    <w:multiLevelType w:val="hybridMultilevel"/>
    <w:tmpl w:val="2ECE0B34"/>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3" w15:restartNumberingAfterBreak="0">
    <w:nsid w:val="16F8696A"/>
    <w:multiLevelType w:val="hybridMultilevel"/>
    <w:tmpl w:val="111E18F6"/>
    <w:lvl w:ilvl="0" w:tplc="1EE6AF32">
      <w:start w:val="1"/>
      <w:numFmt w:val="lowerLetter"/>
      <w:lvlText w:val="%1)"/>
      <w:lvlJc w:val="left"/>
      <w:pPr>
        <w:ind w:left="556" w:hanging="360"/>
      </w:pPr>
      <w:rPr>
        <w:rFonts w:hint="default"/>
        <w:i/>
        <w:sz w:val="22"/>
        <w:szCs w:val="22"/>
      </w:rPr>
    </w:lvl>
    <w:lvl w:ilvl="1" w:tplc="140A0019">
      <w:start w:val="1"/>
      <w:numFmt w:val="lowerLetter"/>
      <w:lvlText w:val="%2."/>
      <w:lvlJc w:val="left"/>
      <w:pPr>
        <w:ind w:left="1276" w:hanging="360"/>
      </w:pPr>
    </w:lvl>
    <w:lvl w:ilvl="2" w:tplc="140A001B" w:tentative="1">
      <w:start w:val="1"/>
      <w:numFmt w:val="lowerRoman"/>
      <w:lvlText w:val="%3."/>
      <w:lvlJc w:val="right"/>
      <w:pPr>
        <w:ind w:left="1996" w:hanging="180"/>
      </w:pPr>
    </w:lvl>
    <w:lvl w:ilvl="3" w:tplc="140A000F" w:tentative="1">
      <w:start w:val="1"/>
      <w:numFmt w:val="decimal"/>
      <w:lvlText w:val="%4."/>
      <w:lvlJc w:val="left"/>
      <w:pPr>
        <w:ind w:left="2716" w:hanging="360"/>
      </w:pPr>
    </w:lvl>
    <w:lvl w:ilvl="4" w:tplc="140A0019" w:tentative="1">
      <w:start w:val="1"/>
      <w:numFmt w:val="lowerLetter"/>
      <w:lvlText w:val="%5."/>
      <w:lvlJc w:val="left"/>
      <w:pPr>
        <w:ind w:left="3436" w:hanging="360"/>
      </w:pPr>
    </w:lvl>
    <w:lvl w:ilvl="5" w:tplc="140A001B" w:tentative="1">
      <w:start w:val="1"/>
      <w:numFmt w:val="lowerRoman"/>
      <w:lvlText w:val="%6."/>
      <w:lvlJc w:val="right"/>
      <w:pPr>
        <w:ind w:left="4156" w:hanging="180"/>
      </w:pPr>
    </w:lvl>
    <w:lvl w:ilvl="6" w:tplc="140A000F" w:tentative="1">
      <w:start w:val="1"/>
      <w:numFmt w:val="decimal"/>
      <w:lvlText w:val="%7."/>
      <w:lvlJc w:val="left"/>
      <w:pPr>
        <w:ind w:left="4876" w:hanging="360"/>
      </w:pPr>
    </w:lvl>
    <w:lvl w:ilvl="7" w:tplc="140A0019" w:tentative="1">
      <w:start w:val="1"/>
      <w:numFmt w:val="lowerLetter"/>
      <w:lvlText w:val="%8."/>
      <w:lvlJc w:val="left"/>
      <w:pPr>
        <w:ind w:left="5596" w:hanging="360"/>
      </w:pPr>
    </w:lvl>
    <w:lvl w:ilvl="8" w:tplc="140A001B" w:tentative="1">
      <w:start w:val="1"/>
      <w:numFmt w:val="lowerRoman"/>
      <w:lvlText w:val="%9."/>
      <w:lvlJc w:val="right"/>
      <w:pPr>
        <w:ind w:left="6316" w:hanging="180"/>
      </w:pPr>
    </w:lvl>
  </w:abstractNum>
  <w:abstractNum w:abstractNumId="4" w15:restartNumberingAfterBreak="0">
    <w:nsid w:val="188132DD"/>
    <w:multiLevelType w:val="hybridMultilevel"/>
    <w:tmpl w:val="4852C79E"/>
    <w:lvl w:ilvl="0" w:tplc="9AF093C4">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B734C35"/>
    <w:multiLevelType w:val="hybridMultilevel"/>
    <w:tmpl w:val="7C9CED7A"/>
    <w:lvl w:ilvl="0" w:tplc="33BAC230">
      <w:start w:val="1"/>
      <w:numFmt w:val="decimal"/>
      <w:lvlText w:val="%1."/>
      <w:lvlJc w:val="left"/>
      <w:pPr>
        <w:ind w:left="786"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7D35A8A"/>
    <w:multiLevelType w:val="hybridMultilevel"/>
    <w:tmpl w:val="75EEB810"/>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BED4456"/>
    <w:multiLevelType w:val="hybridMultilevel"/>
    <w:tmpl w:val="A1DAC44E"/>
    <w:lvl w:ilvl="0" w:tplc="447A67EE">
      <w:start w:val="1"/>
      <w:numFmt w:val="decimal"/>
      <w:lvlText w:val="%1."/>
      <w:lvlJc w:val="left"/>
      <w:pPr>
        <w:ind w:left="720" w:hanging="360"/>
      </w:pPr>
      <w:rPr>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6F13CE"/>
    <w:multiLevelType w:val="hybridMultilevel"/>
    <w:tmpl w:val="F6C0DD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E287E66"/>
    <w:multiLevelType w:val="multilevel"/>
    <w:tmpl w:val="E4345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F1C02A1"/>
    <w:multiLevelType w:val="hybridMultilevel"/>
    <w:tmpl w:val="EFD447FC"/>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32127F4"/>
    <w:multiLevelType w:val="hybridMultilevel"/>
    <w:tmpl w:val="6A8AD1CA"/>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5" w15:restartNumberingAfterBreak="0">
    <w:nsid w:val="65BD4CE6"/>
    <w:multiLevelType w:val="hybridMultilevel"/>
    <w:tmpl w:val="25FA5BBA"/>
    <w:lvl w:ilvl="0" w:tplc="68BE9C24">
      <w:start w:val="1"/>
      <w:numFmt w:val="lowerLetter"/>
      <w:lvlText w:val="%1."/>
      <w:lvlJc w:val="left"/>
      <w:pPr>
        <w:tabs>
          <w:tab w:val="num" w:pos="360"/>
        </w:tabs>
        <w:ind w:left="360" w:hanging="360"/>
      </w:pPr>
      <w:rPr>
        <w:rFonts w:cs="TTE1865388t00" w:hint="default"/>
        <w:b/>
        <w:i w:val="0"/>
        <w:color w:val="auto"/>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9786C3A"/>
    <w:multiLevelType w:val="hybridMultilevel"/>
    <w:tmpl w:val="0A8AB91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17" w15:restartNumberingAfterBreak="0">
    <w:nsid w:val="6CEC5D64"/>
    <w:multiLevelType w:val="hybridMultilevel"/>
    <w:tmpl w:val="C3342F48"/>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D0D6079"/>
    <w:multiLevelType w:val="hybridMultilevel"/>
    <w:tmpl w:val="A65CAD56"/>
    <w:lvl w:ilvl="0" w:tplc="EC3EA924">
      <w:start w:val="1"/>
      <w:numFmt w:val="lowerLetter"/>
      <w:lvlText w:val="%1."/>
      <w:lvlJc w:val="left"/>
      <w:pPr>
        <w:ind w:left="578" w:hanging="360"/>
      </w:pPr>
      <w:rPr>
        <w:b/>
        <w:i w:val="0"/>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9" w15:restartNumberingAfterBreak="0">
    <w:nsid w:val="74DA320A"/>
    <w:multiLevelType w:val="hybridMultilevel"/>
    <w:tmpl w:val="0E6A7136"/>
    <w:lvl w:ilvl="0" w:tplc="87AAFD56">
      <w:start w:val="1"/>
      <w:numFmt w:val="decimal"/>
      <w:lvlText w:val="%1."/>
      <w:lvlJc w:val="left"/>
      <w:pPr>
        <w:ind w:left="720" w:hanging="360"/>
      </w:pPr>
      <w:rPr>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5"/>
  </w:num>
  <w:num w:numId="5">
    <w:abstractNumId w:val="11"/>
  </w:num>
  <w:num w:numId="6">
    <w:abstractNumId w:val="12"/>
  </w:num>
  <w:num w:numId="7">
    <w:abstractNumId w:val="15"/>
  </w:num>
  <w:num w:numId="8">
    <w:abstractNumId w:val="4"/>
  </w:num>
  <w:num w:numId="9">
    <w:abstractNumId w:val="4"/>
  </w:num>
  <w:num w:numId="10">
    <w:abstractNumId w:val="9"/>
  </w:num>
  <w:num w:numId="11">
    <w:abstractNumId w:val="7"/>
  </w:num>
  <w:num w:numId="12">
    <w:abstractNumId w:val="13"/>
  </w:num>
  <w:num w:numId="13">
    <w:abstractNumId w:val="17"/>
  </w:num>
  <w:num w:numId="14">
    <w:abstractNumId w:val="19"/>
  </w:num>
  <w:num w:numId="15">
    <w:abstractNumId w:val="8"/>
  </w:num>
  <w:num w:numId="16">
    <w:abstractNumId w:val="10"/>
  </w:num>
  <w:num w:numId="17">
    <w:abstractNumId w:val="3"/>
  </w:num>
  <w:num w:numId="18">
    <w:abstractNumId w:val="2"/>
  </w:num>
  <w:num w:numId="19">
    <w:abstractNumId w:val="14"/>
  </w:num>
  <w:num w:numId="20">
    <w:abstractNumId w:val="18"/>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40EF"/>
    <w:rsid w:val="0000518D"/>
    <w:rsid w:val="000128E2"/>
    <w:rsid w:val="00017DE2"/>
    <w:rsid w:val="000213DD"/>
    <w:rsid w:val="00024564"/>
    <w:rsid w:val="00024BA5"/>
    <w:rsid w:val="00034CE3"/>
    <w:rsid w:val="00036DAC"/>
    <w:rsid w:val="000401D6"/>
    <w:rsid w:val="00041DEB"/>
    <w:rsid w:val="000428F8"/>
    <w:rsid w:val="000437DE"/>
    <w:rsid w:val="00043B22"/>
    <w:rsid w:val="00050123"/>
    <w:rsid w:val="000602DE"/>
    <w:rsid w:val="00060CCC"/>
    <w:rsid w:val="000663DB"/>
    <w:rsid w:val="00067296"/>
    <w:rsid w:val="00067BE7"/>
    <w:rsid w:val="00067C8C"/>
    <w:rsid w:val="0007411A"/>
    <w:rsid w:val="00075D6B"/>
    <w:rsid w:val="00076DBD"/>
    <w:rsid w:val="00077D4B"/>
    <w:rsid w:val="0008022E"/>
    <w:rsid w:val="00080FD1"/>
    <w:rsid w:val="000813BE"/>
    <w:rsid w:val="00081BCF"/>
    <w:rsid w:val="000846DF"/>
    <w:rsid w:val="00084FDD"/>
    <w:rsid w:val="000903CE"/>
    <w:rsid w:val="00090FDF"/>
    <w:rsid w:val="00091B7B"/>
    <w:rsid w:val="000A5D85"/>
    <w:rsid w:val="000B10C0"/>
    <w:rsid w:val="000B39AF"/>
    <w:rsid w:val="000B55D7"/>
    <w:rsid w:val="000B6B41"/>
    <w:rsid w:val="000B7C5A"/>
    <w:rsid w:val="000C52B7"/>
    <w:rsid w:val="000C68C0"/>
    <w:rsid w:val="000D2AD1"/>
    <w:rsid w:val="000D34C2"/>
    <w:rsid w:val="000D5ACC"/>
    <w:rsid w:val="000D5C6B"/>
    <w:rsid w:val="000D5EB1"/>
    <w:rsid w:val="000D7162"/>
    <w:rsid w:val="000E1F4D"/>
    <w:rsid w:val="000E420E"/>
    <w:rsid w:val="000E5B14"/>
    <w:rsid w:val="000E6DC9"/>
    <w:rsid w:val="000F106C"/>
    <w:rsid w:val="000F1E1D"/>
    <w:rsid w:val="000F4527"/>
    <w:rsid w:val="000F4B43"/>
    <w:rsid w:val="000F5572"/>
    <w:rsid w:val="000F7A0A"/>
    <w:rsid w:val="00105392"/>
    <w:rsid w:val="00107C78"/>
    <w:rsid w:val="0011053E"/>
    <w:rsid w:val="00121308"/>
    <w:rsid w:val="001237E1"/>
    <w:rsid w:val="001240CC"/>
    <w:rsid w:val="001248CE"/>
    <w:rsid w:val="001272AF"/>
    <w:rsid w:val="001304BF"/>
    <w:rsid w:val="0013093C"/>
    <w:rsid w:val="001319DF"/>
    <w:rsid w:val="00132C08"/>
    <w:rsid w:val="0013309A"/>
    <w:rsid w:val="00133EEB"/>
    <w:rsid w:val="00135EE8"/>
    <w:rsid w:val="001370D6"/>
    <w:rsid w:val="001370DB"/>
    <w:rsid w:val="001372BC"/>
    <w:rsid w:val="0013796E"/>
    <w:rsid w:val="0014021F"/>
    <w:rsid w:val="00141B28"/>
    <w:rsid w:val="00150E71"/>
    <w:rsid w:val="00150F07"/>
    <w:rsid w:val="00153E19"/>
    <w:rsid w:val="00155121"/>
    <w:rsid w:val="00156111"/>
    <w:rsid w:val="001617E0"/>
    <w:rsid w:val="00165556"/>
    <w:rsid w:val="00165902"/>
    <w:rsid w:val="00165C83"/>
    <w:rsid w:val="00165F34"/>
    <w:rsid w:val="00166375"/>
    <w:rsid w:val="00171AC3"/>
    <w:rsid w:val="001746E5"/>
    <w:rsid w:val="0018030A"/>
    <w:rsid w:val="00182124"/>
    <w:rsid w:val="00187E00"/>
    <w:rsid w:val="001962C2"/>
    <w:rsid w:val="001B208D"/>
    <w:rsid w:val="001B59CC"/>
    <w:rsid w:val="001C1124"/>
    <w:rsid w:val="001C1335"/>
    <w:rsid w:val="001D40F5"/>
    <w:rsid w:val="001E0224"/>
    <w:rsid w:val="001E684C"/>
    <w:rsid w:val="001E69A6"/>
    <w:rsid w:val="001E69C9"/>
    <w:rsid w:val="001F0C0F"/>
    <w:rsid w:val="001F3C06"/>
    <w:rsid w:val="0020019E"/>
    <w:rsid w:val="0020223D"/>
    <w:rsid w:val="00204A01"/>
    <w:rsid w:val="00204A3D"/>
    <w:rsid w:val="00210743"/>
    <w:rsid w:val="002118B2"/>
    <w:rsid w:val="00217BCB"/>
    <w:rsid w:val="002207D9"/>
    <w:rsid w:val="00220ED5"/>
    <w:rsid w:val="00221713"/>
    <w:rsid w:val="00225D59"/>
    <w:rsid w:val="002279E5"/>
    <w:rsid w:val="00227D3E"/>
    <w:rsid w:val="00230EB0"/>
    <w:rsid w:val="00234BB0"/>
    <w:rsid w:val="00235258"/>
    <w:rsid w:val="00242D06"/>
    <w:rsid w:val="00250B47"/>
    <w:rsid w:val="00253D5C"/>
    <w:rsid w:val="00255202"/>
    <w:rsid w:val="002569E9"/>
    <w:rsid w:val="00260F3E"/>
    <w:rsid w:val="00261D4A"/>
    <w:rsid w:val="00263233"/>
    <w:rsid w:val="002668E5"/>
    <w:rsid w:val="00267A3B"/>
    <w:rsid w:val="00270CD5"/>
    <w:rsid w:val="00275822"/>
    <w:rsid w:val="00275FE3"/>
    <w:rsid w:val="00281B37"/>
    <w:rsid w:val="00283360"/>
    <w:rsid w:val="00283375"/>
    <w:rsid w:val="0029068F"/>
    <w:rsid w:val="00293149"/>
    <w:rsid w:val="00293595"/>
    <w:rsid w:val="002A285B"/>
    <w:rsid w:val="002A39D6"/>
    <w:rsid w:val="002A51A3"/>
    <w:rsid w:val="002A7751"/>
    <w:rsid w:val="002B2032"/>
    <w:rsid w:val="002B2346"/>
    <w:rsid w:val="002B5DEE"/>
    <w:rsid w:val="002C2B58"/>
    <w:rsid w:val="002C468D"/>
    <w:rsid w:val="002C4D2C"/>
    <w:rsid w:val="002C6BE2"/>
    <w:rsid w:val="002E03BF"/>
    <w:rsid w:val="002E1507"/>
    <w:rsid w:val="002E2751"/>
    <w:rsid w:val="002E49F2"/>
    <w:rsid w:val="002E5A2A"/>
    <w:rsid w:val="002F1374"/>
    <w:rsid w:val="002F70A8"/>
    <w:rsid w:val="00300778"/>
    <w:rsid w:val="003011A3"/>
    <w:rsid w:val="0030153B"/>
    <w:rsid w:val="00301B0B"/>
    <w:rsid w:val="00310865"/>
    <w:rsid w:val="003162A0"/>
    <w:rsid w:val="003223AF"/>
    <w:rsid w:val="00322446"/>
    <w:rsid w:val="00322B8A"/>
    <w:rsid w:val="00323397"/>
    <w:rsid w:val="00323590"/>
    <w:rsid w:val="00324AB0"/>
    <w:rsid w:val="00325DEA"/>
    <w:rsid w:val="00325E1C"/>
    <w:rsid w:val="00332808"/>
    <w:rsid w:val="00333402"/>
    <w:rsid w:val="00334300"/>
    <w:rsid w:val="00340863"/>
    <w:rsid w:val="0034405E"/>
    <w:rsid w:val="00344103"/>
    <w:rsid w:val="00345207"/>
    <w:rsid w:val="0035043F"/>
    <w:rsid w:val="00350681"/>
    <w:rsid w:val="003506A7"/>
    <w:rsid w:val="003518BD"/>
    <w:rsid w:val="0035403F"/>
    <w:rsid w:val="0036607E"/>
    <w:rsid w:val="00366F0E"/>
    <w:rsid w:val="00370216"/>
    <w:rsid w:val="003756F2"/>
    <w:rsid w:val="00380871"/>
    <w:rsid w:val="00381397"/>
    <w:rsid w:val="00382EA8"/>
    <w:rsid w:val="00385402"/>
    <w:rsid w:val="00387158"/>
    <w:rsid w:val="00392B56"/>
    <w:rsid w:val="00394733"/>
    <w:rsid w:val="00395647"/>
    <w:rsid w:val="00396AAA"/>
    <w:rsid w:val="003A49BC"/>
    <w:rsid w:val="003A4C52"/>
    <w:rsid w:val="003A5456"/>
    <w:rsid w:val="003A7912"/>
    <w:rsid w:val="003B0A2D"/>
    <w:rsid w:val="003B245E"/>
    <w:rsid w:val="003B4C91"/>
    <w:rsid w:val="003B5FFB"/>
    <w:rsid w:val="003C0783"/>
    <w:rsid w:val="003C19D5"/>
    <w:rsid w:val="003C1FAB"/>
    <w:rsid w:val="003C2706"/>
    <w:rsid w:val="003C388C"/>
    <w:rsid w:val="003C5FFE"/>
    <w:rsid w:val="003D2633"/>
    <w:rsid w:val="003D3F8A"/>
    <w:rsid w:val="003D5AAA"/>
    <w:rsid w:val="003E2233"/>
    <w:rsid w:val="003E369B"/>
    <w:rsid w:val="003E6A14"/>
    <w:rsid w:val="003E7EDF"/>
    <w:rsid w:val="003F7A14"/>
    <w:rsid w:val="0040137C"/>
    <w:rsid w:val="004023E1"/>
    <w:rsid w:val="004060DD"/>
    <w:rsid w:val="00407FF0"/>
    <w:rsid w:val="00411530"/>
    <w:rsid w:val="00411531"/>
    <w:rsid w:val="00411D24"/>
    <w:rsid w:val="00412158"/>
    <w:rsid w:val="004161F8"/>
    <w:rsid w:val="00417B01"/>
    <w:rsid w:val="0042189A"/>
    <w:rsid w:val="004227AA"/>
    <w:rsid w:val="00423D9B"/>
    <w:rsid w:val="00424D7C"/>
    <w:rsid w:val="00426401"/>
    <w:rsid w:val="004268E7"/>
    <w:rsid w:val="00426AC7"/>
    <w:rsid w:val="00427B05"/>
    <w:rsid w:val="00430CF8"/>
    <w:rsid w:val="004314B6"/>
    <w:rsid w:val="00432A0F"/>
    <w:rsid w:val="00436940"/>
    <w:rsid w:val="0044013A"/>
    <w:rsid w:val="00443B63"/>
    <w:rsid w:val="00445CED"/>
    <w:rsid w:val="004505E8"/>
    <w:rsid w:val="004511A1"/>
    <w:rsid w:val="00452394"/>
    <w:rsid w:val="0045598E"/>
    <w:rsid w:val="00456A37"/>
    <w:rsid w:val="00460D38"/>
    <w:rsid w:val="00461FB2"/>
    <w:rsid w:val="00462436"/>
    <w:rsid w:val="00465585"/>
    <w:rsid w:val="00471DDD"/>
    <w:rsid w:val="004730AC"/>
    <w:rsid w:val="00473A47"/>
    <w:rsid w:val="00476861"/>
    <w:rsid w:val="00476C34"/>
    <w:rsid w:val="00480A91"/>
    <w:rsid w:val="00487C3B"/>
    <w:rsid w:val="00493856"/>
    <w:rsid w:val="0049385C"/>
    <w:rsid w:val="00495B4F"/>
    <w:rsid w:val="00497506"/>
    <w:rsid w:val="00497832"/>
    <w:rsid w:val="004A0A9A"/>
    <w:rsid w:val="004A4274"/>
    <w:rsid w:val="004A6FE0"/>
    <w:rsid w:val="004A7236"/>
    <w:rsid w:val="004B2B3D"/>
    <w:rsid w:val="004B3C97"/>
    <w:rsid w:val="004B43AF"/>
    <w:rsid w:val="004C2F5E"/>
    <w:rsid w:val="004C36C4"/>
    <w:rsid w:val="004C43F0"/>
    <w:rsid w:val="004C568E"/>
    <w:rsid w:val="004C5B2A"/>
    <w:rsid w:val="004C5DDD"/>
    <w:rsid w:val="004D0B7A"/>
    <w:rsid w:val="004D0E9A"/>
    <w:rsid w:val="004D19F3"/>
    <w:rsid w:val="004D2D67"/>
    <w:rsid w:val="004D30FD"/>
    <w:rsid w:val="004D3777"/>
    <w:rsid w:val="004D6CA2"/>
    <w:rsid w:val="004E1FC9"/>
    <w:rsid w:val="004E23CB"/>
    <w:rsid w:val="004E3D7B"/>
    <w:rsid w:val="004E5F1D"/>
    <w:rsid w:val="004E6E23"/>
    <w:rsid w:val="005032E7"/>
    <w:rsid w:val="00504D5D"/>
    <w:rsid w:val="00506EDE"/>
    <w:rsid w:val="00510C22"/>
    <w:rsid w:val="00511246"/>
    <w:rsid w:val="005121D8"/>
    <w:rsid w:val="005156CF"/>
    <w:rsid w:val="00515CEC"/>
    <w:rsid w:val="00523260"/>
    <w:rsid w:val="0052523D"/>
    <w:rsid w:val="00525250"/>
    <w:rsid w:val="00525FBA"/>
    <w:rsid w:val="00531529"/>
    <w:rsid w:val="00531D6E"/>
    <w:rsid w:val="00532545"/>
    <w:rsid w:val="00532698"/>
    <w:rsid w:val="00533095"/>
    <w:rsid w:val="00533D6D"/>
    <w:rsid w:val="00534B45"/>
    <w:rsid w:val="00540263"/>
    <w:rsid w:val="00540BF7"/>
    <w:rsid w:val="005428FF"/>
    <w:rsid w:val="00542FD2"/>
    <w:rsid w:val="005447D0"/>
    <w:rsid w:val="00546B67"/>
    <w:rsid w:val="005476A5"/>
    <w:rsid w:val="005528D9"/>
    <w:rsid w:val="005578CB"/>
    <w:rsid w:val="005579A5"/>
    <w:rsid w:val="00561FD4"/>
    <w:rsid w:val="00563E83"/>
    <w:rsid w:val="0056674D"/>
    <w:rsid w:val="005766E0"/>
    <w:rsid w:val="00591483"/>
    <w:rsid w:val="00593737"/>
    <w:rsid w:val="005972A7"/>
    <w:rsid w:val="0059756C"/>
    <w:rsid w:val="005978DB"/>
    <w:rsid w:val="005A2507"/>
    <w:rsid w:val="005A2803"/>
    <w:rsid w:val="005A57FA"/>
    <w:rsid w:val="005A583E"/>
    <w:rsid w:val="005A5BEC"/>
    <w:rsid w:val="005B093E"/>
    <w:rsid w:val="005B2823"/>
    <w:rsid w:val="005B465B"/>
    <w:rsid w:val="005C2C87"/>
    <w:rsid w:val="005C52A3"/>
    <w:rsid w:val="005D237F"/>
    <w:rsid w:val="005E4831"/>
    <w:rsid w:val="005E6F3F"/>
    <w:rsid w:val="005F3429"/>
    <w:rsid w:val="005F40F5"/>
    <w:rsid w:val="005F6B28"/>
    <w:rsid w:val="006059E6"/>
    <w:rsid w:val="00610697"/>
    <w:rsid w:val="0062298E"/>
    <w:rsid w:val="00623979"/>
    <w:rsid w:val="00623BA9"/>
    <w:rsid w:val="0062557C"/>
    <w:rsid w:val="00631B4A"/>
    <w:rsid w:val="00633029"/>
    <w:rsid w:val="00633E40"/>
    <w:rsid w:val="00634E9A"/>
    <w:rsid w:val="00641982"/>
    <w:rsid w:val="0064406E"/>
    <w:rsid w:val="00646ED5"/>
    <w:rsid w:val="00651E73"/>
    <w:rsid w:val="00653936"/>
    <w:rsid w:val="00656B1D"/>
    <w:rsid w:val="00656FC4"/>
    <w:rsid w:val="00661406"/>
    <w:rsid w:val="00664E8B"/>
    <w:rsid w:val="0066604E"/>
    <w:rsid w:val="0066690B"/>
    <w:rsid w:val="00672900"/>
    <w:rsid w:val="00675C04"/>
    <w:rsid w:val="006842AD"/>
    <w:rsid w:val="006862AA"/>
    <w:rsid w:val="006871B3"/>
    <w:rsid w:val="006874A5"/>
    <w:rsid w:val="00691130"/>
    <w:rsid w:val="006938F4"/>
    <w:rsid w:val="006976E0"/>
    <w:rsid w:val="006A0409"/>
    <w:rsid w:val="006A2A49"/>
    <w:rsid w:val="006A362E"/>
    <w:rsid w:val="006A61E8"/>
    <w:rsid w:val="006B0D38"/>
    <w:rsid w:val="006B20B4"/>
    <w:rsid w:val="006B21C4"/>
    <w:rsid w:val="006B7D15"/>
    <w:rsid w:val="006C1338"/>
    <w:rsid w:val="006C7BCB"/>
    <w:rsid w:val="006D2575"/>
    <w:rsid w:val="006D5CAB"/>
    <w:rsid w:val="006E44A4"/>
    <w:rsid w:val="006E4522"/>
    <w:rsid w:val="006E4F8A"/>
    <w:rsid w:val="006E6682"/>
    <w:rsid w:val="006F39FD"/>
    <w:rsid w:val="006F4791"/>
    <w:rsid w:val="006F47D9"/>
    <w:rsid w:val="006F6992"/>
    <w:rsid w:val="006F736E"/>
    <w:rsid w:val="006F7C62"/>
    <w:rsid w:val="00704042"/>
    <w:rsid w:val="007133B5"/>
    <w:rsid w:val="00716307"/>
    <w:rsid w:val="00716A85"/>
    <w:rsid w:val="00717E7B"/>
    <w:rsid w:val="00720E26"/>
    <w:rsid w:val="00725291"/>
    <w:rsid w:val="00730242"/>
    <w:rsid w:val="00730BAA"/>
    <w:rsid w:val="007313FD"/>
    <w:rsid w:val="00731891"/>
    <w:rsid w:val="00733178"/>
    <w:rsid w:val="007369BA"/>
    <w:rsid w:val="00740752"/>
    <w:rsid w:val="0074284B"/>
    <w:rsid w:val="00744C74"/>
    <w:rsid w:val="0075179A"/>
    <w:rsid w:val="00751AB1"/>
    <w:rsid w:val="007553D4"/>
    <w:rsid w:val="00761133"/>
    <w:rsid w:val="007619FB"/>
    <w:rsid w:val="007729C9"/>
    <w:rsid w:val="00777FF4"/>
    <w:rsid w:val="007837C1"/>
    <w:rsid w:val="00791713"/>
    <w:rsid w:val="00794454"/>
    <w:rsid w:val="00795377"/>
    <w:rsid w:val="00795614"/>
    <w:rsid w:val="007A5E5B"/>
    <w:rsid w:val="007B56C0"/>
    <w:rsid w:val="007B6F61"/>
    <w:rsid w:val="007B7700"/>
    <w:rsid w:val="007C024F"/>
    <w:rsid w:val="007C10F3"/>
    <w:rsid w:val="007C6A05"/>
    <w:rsid w:val="007D0868"/>
    <w:rsid w:val="007D13D9"/>
    <w:rsid w:val="007D24E0"/>
    <w:rsid w:val="007D2E3F"/>
    <w:rsid w:val="007D5BC0"/>
    <w:rsid w:val="007D6527"/>
    <w:rsid w:val="007D7B7B"/>
    <w:rsid w:val="007E0809"/>
    <w:rsid w:val="007E12A1"/>
    <w:rsid w:val="007E7814"/>
    <w:rsid w:val="007F49BB"/>
    <w:rsid w:val="007F5314"/>
    <w:rsid w:val="007F60AC"/>
    <w:rsid w:val="007F625C"/>
    <w:rsid w:val="007F6D48"/>
    <w:rsid w:val="007F7114"/>
    <w:rsid w:val="008101FC"/>
    <w:rsid w:val="008108E8"/>
    <w:rsid w:val="00816407"/>
    <w:rsid w:val="00825809"/>
    <w:rsid w:val="00825F93"/>
    <w:rsid w:val="00831982"/>
    <w:rsid w:val="0083257F"/>
    <w:rsid w:val="008434BA"/>
    <w:rsid w:val="00845D24"/>
    <w:rsid w:val="008544DB"/>
    <w:rsid w:val="00862DB0"/>
    <w:rsid w:val="00862FA3"/>
    <w:rsid w:val="00865845"/>
    <w:rsid w:val="00876EC4"/>
    <w:rsid w:val="00877453"/>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1976"/>
    <w:rsid w:val="008D3FB0"/>
    <w:rsid w:val="008D74B3"/>
    <w:rsid w:val="008D7C3D"/>
    <w:rsid w:val="008E18B1"/>
    <w:rsid w:val="008E1EA9"/>
    <w:rsid w:val="008E4197"/>
    <w:rsid w:val="008E463C"/>
    <w:rsid w:val="008E58B9"/>
    <w:rsid w:val="008E75AE"/>
    <w:rsid w:val="008F0CC4"/>
    <w:rsid w:val="008F45F0"/>
    <w:rsid w:val="009110F5"/>
    <w:rsid w:val="00911F70"/>
    <w:rsid w:val="009120EB"/>
    <w:rsid w:val="00914F38"/>
    <w:rsid w:val="00917F97"/>
    <w:rsid w:val="00924AA2"/>
    <w:rsid w:val="009258C6"/>
    <w:rsid w:val="00930A02"/>
    <w:rsid w:val="009401C7"/>
    <w:rsid w:val="009526A4"/>
    <w:rsid w:val="00953CA5"/>
    <w:rsid w:val="0095486B"/>
    <w:rsid w:val="00961770"/>
    <w:rsid w:val="00962660"/>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771"/>
    <w:rsid w:val="009B0DBA"/>
    <w:rsid w:val="009B267A"/>
    <w:rsid w:val="009B542F"/>
    <w:rsid w:val="009B6E5E"/>
    <w:rsid w:val="009C11B1"/>
    <w:rsid w:val="009C402F"/>
    <w:rsid w:val="009D0FB4"/>
    <w:rsid w:val="009D680A"/>
    <w:rsid w:val="009D7E35"/>
    <w:rsid w:val="009E5AB7"/>
    <w:rsid w:val="009E65F6"/>
    <w:rsid w:val="009F26A6"/>
    <w:rsid w:val="009F2D9A"/>
    <w:rsid w:val="009F3FA6"/>
    <w:rsid w:val="009F4734"/>
    <w:rsid w:val="009F79DC"/>
    <w:rsid w:val="00A00D05"/>
    <w:rsid w:val="00A00DE4"/>
    <w:rsid w:val="00A034D6"/>
    <w:rsid w:val="00A04B4B"/>
    <w:rsid w:val="00A07231"/>
    <w:rsid w:val="00A07346"/>
    <w:rsid w:val="00A12A6C"/>
    <w:rsid w:val="00A1609F"/>
    <w:rsid w:val="00A20D41"/>
    <w:rsid w:val="00A22594"/>
    <w:rsid w:val="00A22FC1"/>
    <w:rsid w:val="00A258C2"/>
    <w:rsid w:val="00A261DF"/>
    <w:rsid w:val="00A276D0"/>
    <w:rsid w:val="00A2781C"/>
    <w:rsid w:val="00A35122"/>
    <w:rsid w:val="00A354D5"/>
    <w:rsid w:val="00A35CA7"/>
    <w:rsid w:val="00A405DB"/>
    <w:rsid w:val="00A54E67"/>
    <w:rsid w:val="00A57051"/>
    <w:rsid w:val="00A602B0"/>
    <w:rsid w:val="00A60DB0"/>
    <w:rsid w:val="00A618D1"/>
    <w:rsid w:val="00A6620D"/>
    <w:rsid w:val="00A714AE"/>
    <w:rsid w:val="00A71CCB"/>
    <w:rsid w:val="00A72D3C"/>
    <w:rsid w:val="00A77F8A"/>
    <w:rsid w:val="00A82FEA"/>
    <w:rsid w:val="00A8408D"/>
    <w:rsid w:val="00AA4A78"/>
    <w:rsid w:val="00AA5259"/>
    <w:rsid w:val="00AB0512"/>
    <w:rsid w:val="00AC6805"/>
    <w:rsid w:val="00AD394D"/>
    <w:rsid w:val="00AD5306"/>
    <w:rsid w:val="00AD6483"/>
    <w:rsid w:val="00AD7835"/>
    <w:rsid w:val="00AE2D5A"/>
    <w:rsid w:val="00AE2F65"/>
    <w:rsid w:val="00AE36D5"/>
    <w:rsid w:val="00AE6733"/>
    <w:rsid w:val="00AF3280"/>
    <w:rsid w:val="00AF34C9"/>
    <w:rsid w:val="00AF5ACF"/>
    <w:rsid w:val="00B05C4B"/>
    <w:rsid w:val="00B05D21"/>
    <w:rsid w:val="00B1126E"/>
    <w:rsid w:val="00B124AA"/>
    <w:rsid w:val="00B227C4"/>
    <w:rsid w:val="00B229A7"/>
    <w:rsid w:val="00B23A76"/>
    <w:rsid w:val="00B269D8"/>
    <w:rsid w:val="00B26FFA"/>
    <w:rsid w:val="00B415F0"/>
    <w:rsid w:val="00B44957"/>
    <w:rsid w:val="00B47959"/>
    <w:rsid w:val="00B50C53"/>
    <w:rsid w:val="00B544F0"/>
    <w:rsid w:val="00B545A7"/>
    <w:rsid w:val="00B65D67"/>
    <w:rsid w:val="00B715D6"/>
    <w:rsid w:val="00B7167E"/>
    <w:rsid w:val="00B74005"/>
    <w:rsid w:val="00B80A64"/>
    <w:rsid w:val="00B87D56"/>
    <w:rsid w:val="00B9004B"/>
    <w:rsid w:val="00B904C4"/>
    <w:rsid w:val="00B93728"/>
    <w:rsid w:val="00B939CD"/>
    <w:rsid w:val="00B93D3F"/>
    <w:rsid w:val="00B975EE"/>
    <w:rsid w:val="00B97900"/>
    <w:rsid w:val="00BA14F1"/>
    <w:rsid w:val="00BA1AB4"/>
    <w:rsid w:val="00BA4CDF"/>
    <w:rsid w:val="00BB2E58"/>
    <w:rsid w:val="00BB6E6E"/>
    <w:rsid w:val="00BC005D"/>
    <w:rsid w:val="00BC10F8"/>
    <w:rsid w:val="00BC53DB"/>
    <w:rsid w:val="00BD64C2"/>
    <w:rsid w:val="00BD695A"/>
    <w:rsid w:val="00BD72A1"/>
    <w:rsid w:val="00BE11A5"/>
    <w:rsid w:val="00BE546A"/>
    <w:rsid w:val="00C0001A"/>
    <w:rsid w:val="00C00074"/>
    <w:rsid w:val="00C06CDD"/>
    <w:rsid w:val="00C1061F"/>
    <w:rsid w:val="00C11B55"/>
    <w:rsid w:val="00C11CB1"/>
    <w:rsid w:val="00C16E0E"/>
    <w:rsid w:val="00C177D7"/>
    <w:rsid w:val="00C229BF"/>
    <w:rsid w:val="00C30BA6"/>
    <w:rsid w:val="00C331DC"/>
    <w:rsid w:val="00C338DB"/>
    <w:rsid w:val="00C33B68"/>
    <w:rsid w:val="00C3580C"/>
    <w:rsid w:val="00C37602"/>
    <w:rsid w:val="00C47C47"/>
    <w:rsid w:val="00C47C5E"/>
    <w:rsid w:val="00C540BB"/>
    <w:rsid w:val="00C54F22"/>
    <w:rsid w:val="00C56393"/>
    <w:rsid w:val="00C6171B"/>
    <w:rsid w:val="00C64580"/>
    <w:rsid w:val="00C64624"/>
    <w:rsid w:val="00C65E08"/>
    <w:rsid w:val="00C67192"/>
    <w:rsid w:val="00C718B7"/>
    <w:rsid w:val="00C71968"/>
    <w:rsid w:val="00C73715"/>
    <w:rsid w:val="00C74F67"/>
    <w:rsid w:val="00C75274"/>
    <w:rsid w:val="00C80386"/>
    <w:rsid w:val="00C8108C"/>
    <w:rsid w:val="00C8352C"/>
    <w:rsid w:val="00C940BF"/>
    <w:rsid w:val="00C947EB"/>
    <w:rsid w:val="00C95610"/>
    <w:rsid w:val="00C971F9"/>
    <w:rsid w:val="00C97317"/>
    <w:rsid w:val="00CB0CB0"/>
    <w:rsid w:val="00CB0ED4"/>
    <w:rsid w:val="00CB1EFF"/>
    <w:rsid w:val="00CB4469"/>
    <w:rsid w:val="00CB7A61"/>
    <w:rsid w:val="00CC64CA"/>
    <w:rsid w:val="00CC68BB"/>
    <w:rsid w:val="00CD25F2"/>
    <w:rsid w:val="00CD4387"/>
    <w:rsid w:val="00CD6673"/>
    <w:rsid w:val="00CE0215"/>
    <w:rsid w:val="00CE6A7A"/>
    <w:rsid w:val="00CF025B"/>
    <w:rsid w:val="00CF0602"/>
    <w:rsid w:val="00CF1C87"/>
    <w:rsid w:val="00CF22B9"/>
    <w:rsid w:val="00D0233D"/>
    <w:rsid w:val="00D0240D"/>
    <w:rsid w:val="00D0436A"/>
    <w:rsid w:val="00D12861"/>
    <w:rsid w:val="00D14DDC"/>
    <w:rsid w:val="00D20378"/>
    <w:rsid w:val="00D24A4B"/>
    <w:rsid w:val="00D31B0E"/>
    <w:rsid w:val="00D32BED"/>
    <w:rsid w:val="00D350A6"/>
    <w:rsid w:val="00D3783E"/>
    <w:rsid w:val="00D41CFB"/>
    <w:rsid w:val="00D4243F"/>
    <w:rsid w:val="00D45874"/>
    <w:rsid w:val="00D46755"/>
    <w:rsid w:val="00D500A1"/>
    <w:rsid w:val="00D51BB1"/>
    <w:rsid w:val="00D558F9"/>
    <w:rsid w:val="00D55B56"/>
    <w:rsid w:val="00D60137"/>
    <w:rsid w:val="00D6173A"/>
    <w:rsid w:val="00D64ED8"/>
    <w:rsid w:val="00D65680"/>
    <w:rsid w:val="00D6604C"/>
    <w:rsid w:val="00D66756"/>
    <w:rsid w:val="00D67BAD"/>
    <w:rsid w:val="00D70107"/>
    <w:rsid w:val="00D729A5"/>
    <w:rsid w:val="00D72ECB"/>
    <w:rsid w:val="00D742FF"/>
    <w:rsid w:val="00D80EF2"/>
    <w:rsid w:val="00D91190"/>
    <w:rsid w:val="00D91D3F"/>
    <w:rsid w:val="00D91FDE"/>
    <w:rsid w:val="00D954FC"/>
    <w:rsid w:val="00D958BC"/>
    <w:rsid w:val="00D9781D"/>
    <w:rsid w:val="00DA005F"/>
    <w:rsid w:val="00DA0942"/>
    <w:rsid w:val="00DA0D04"/>
    <w:rsid w:val="00DB11AA"/>
    <w:rsid w:val="00DC17C3"/>
    <w:rsid w:val="00DC2CBA"/>
    <w:rsid w:val="00DC33A5"/>
    <w:rsid w:val="00DC5266"/>
    <w:rsid w:val="00DD50B4"/>
    <w:rsid w:val="00DD739B"/>
    <w:rsid w:val="00DE4B08"/>
    <w:rsid w:val="00DE7014"/>
    <w:rsid w:val="00DE7BB8"/>
    <w:rsid w:val="00DF2BAA"/>
    <w:rsid w:val="00DF45FF"/>
    <w:rsid w:val="00DF7755"/>
    <w:rsid w:val="00DF7F7A"/>
    <w:rsid w:val="00E01250"/>
    <w:rsid w:val="00E05701"/>
    <w:rsid w:val="00E0753C"/>
    <w:rsid w:val="00E11488"/>
    <w:rsid w:val="00E16F62"/>
    <w:rsid w:val="00E22D17"/>
    <w:rsid w:val="00E26992"/>
    <w:rsid w:val="00E30502"/>
    <w:rsid w:val="00E359B9"/>
    <w:rsid w:val="00E42135"/>
    <w:rsid w:val="00E42492"/>
    <w:rsid w:val="00E426E5"/>
    <w:rsid w:val="00E43A3A"/>
    <w:rsid w:val="00E440CF"/>
    <w:rsid w:val="00E46404"/>
    <w:rsid w:val="00E47137"/>
    <w:rsid w:val="00E512B0"/>
    <w:rsid w:val="00E5372B"/>
    <w:rsid w:val="00E53E75"/>
    <w:rsid w:val="00E5768A"/>
    <w:rsid w:val="00E61736"/>
    <w:rsid w:val="00E61CDC"/>
    <w:rsid w:val="00E6544B"/>
    <w:rsid w:val="00E67094"/>
    <w:rsid w:val="00E80FBE"/>
    <w:rsid w:val="00E82183"/>
    <w:rsid w:val="00E9331A"/>
    <w:rsid w:val="00E965FF"/>
    <w:rsid w:val="00E96B6D"/>
    <w:rsid w:val="00E97F75"/>
    <w:rsid w:val="00EA33EA"/>
    <w:rsid w:val="00EA5044"/>
    <w:rsid w:val="00EB118F"/>
    <w:rsid w:val="00EB4683"/>
    <w:rsid w:val="00EB7E2E"/>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F3D"/>
    <w:rsid w:val="00F05A2A"/>
    <w:rsid w:val="00F07BFB"/>
    <w:rsid w:val="00F109E0"/>
    <w:rsid w:val="00F12D01"/>
    <w:rsid w:val="00F1317F"/>
    <w:rsid w:val="00F13370"/>
    <w:rsid w:val="00F14918"/>
    <w:rsid w:val="00F1534E"/>
    <w:rsid w:val="00F220BC"/>
    <w:rsid w:val="00F245F7"/>
    <w:rsid w:val="00F25DC2"/>
    <w:rsid w:val="00F30E9B"/>
    <w:rsid w:val="00F3442B"/>
    <w:rsid w:val="00F37610"/>
    <w:rsid w:val="00F41878"/>
    <w:rsid w:val="00F47518"/>
    <w:rsid w:val="00F55303"/>
    <w:rsid w:val="00F60439"/>
    <w:rsid w:val="00F608F0"/>
    <w:rsid w:val="00F617DE"/>
    <w:rsid w:val="00F623C8"/>
    <w:rsid w:val="00F63922"/>
    <w:rsid w:val="00F64331"/>
    <w:rsid w:val="00F67816"/>
    <w:rsid w:val="00F72058"/>
    <w:rsid w:val="00F72CE7"/>
    <w:rsid w:val="00F73E1E"/>
    <w:rsid w:val="00F7492C"/>
    <w:rsid w:val="00F75168"/>
    <w:rsid w:val="00F803D2"/>
    <w:rsid w:val="00F808D8"/>
    <w:rsid w:val="00F81130"/>
    <w:rsid w:val="00F9258D"/>
    <w:rsid w:val="00F925E2"/>
    <w:rsid w:val="00F93629"/>
    <w:rsid w:val="00F952C5"/>
    <w:rsid w:val="00F96A43"/>
    <w:rsid w:val="00FA4749"/>
    <w:rsid w:val="00FA53B1"/>
    <w:rsid w:val="00FA6F2C"/>
    <w:rsid w:val="00FB0CC5"/>
    <w:rsid w:val="00FB3BFF"/>
    <w:rsid w:val="00FB3EB6"/>
    <w:rsid w:val="00FB5D65"/>
    <w:rsid w:val="00FC2047"/>
    <w:rsid w:val="00FC2763"/>
    <w:rsid w:val="00FC322D"/>
    <w:rsid w:val="00FD13B7"/>
    <w:rsid w:val="00FD56CC"/>
    <w:rsid w:val="00FD5A54"/>
    <w:rsid w:val="00FD6179"/>
    <w:rsid w:val="00FD6E37"/>
    <w:rsid w:val="00FD7A4A"/>
    <w:rsid w:val="00FE2A23"/>
    <w:rsid w:val="00FF0695"/>
    <w:rsid w:val="00FF30F2"/>
    <w:rsid w:val="00FF4C3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character" w:styleId="Hipervnculo">
    <w:name w:val="Hyperlink"/>
    <w:basedOn w:val="Fuentedeprrafopredeter"/>
    <w:uiPriority w:val="99"/>
    <w:unhideWhenUsed/>
    <w:rsid w:val="00EA33EA"/>
    <w:rPr>
      <w:color w:val="0000FF"/>
      <w:u w:val="single"/>
    </w:rPr>
  </w:style>
  <w:style w:type="character" w:styleId="Hipervnculovisitado">
    <w:name w:val="FollowedHyperlink"/>
    <w:basedOn w:val="Fuentedeprrafopredeter"/>
    <w:uiPriority w:val="99"/>
    <w:unhideWhenUsed/>
    <w:rsid w:val="00EA33EA"/>
    <w:rPr>
      <w:color w:val="800080"/>
      <w:u w:val="single"/>
    </w:rPr>
  </w:style>
  <w:style w:type="paragraph" w:customStyle="1" w:styleId="msonormal0">
    <w:name w:val="msonormal"/>
    <w:basedOn w:val="Normal"/>
    <w:rsid w:val="00EA33EA"/>
    <w:pPr>
      <w:spacing w:before="100" w:beforeAutospacing="1" w:after="100" w:afterAutospacing="1"/>
    </w:pPr>
    <w:rPr>
      <w:lang w:val="es-CR" w:eastAsia="es-CR"/>
    </w:rPr>
  </w:style>
  <w:style w:type="paragraph" w:customStyle="1" w:styleId="font5">
    <w:name w:val="font5"/>
    <w:basedOn w:val="Normal"/>
    <w:rsid w:val="00EA33EA"/>
    <w:pPr>
      <w:spacing w:before="100" w:beforeAutospacing="1" w:after="100" w:afterAutospacing="1"/>
    </w:pPr>
    <w:rPr>
      <w:rFonts w:ascii="Tahoma" w:hAnsi="Tahoma" w:cs="Tahoma"/>
      <w:color w:val="000000"/>
      <w:sz w:val="18"/>
      <w:szCs w:val="18"/>
      <w:lang w:val="es-CR" w:eastAsia="es-CR"/>
    </w:rPr>
  </w:style>
  <w:style w:type="paragraph" w:customStyle="1" w:styleId="font6">
    <w:name w:val="font6"/>
    <w:basedOn w:val="Normal"/>
    <w:rsid w:val="00EA33EA"/>
    <w:pPr>
      <w:spacing w:before="100" w:beforeAutospacing="1" w:after="100" w:afterAutospacing="1"/>
    </w:pPr>
    <w:rPr>
      <w:rFonts w:ascii="Tahoma" w:hAnsi="Tahoma" w:cs="Tahoma"/>
      <w:b/>
      <w:bCs/>
      <w:color w:val="000000"/>
      <w:sz w:val="18"/>
      <w:szCs w:val="18"/>
      <w:lang w:val="es-CR" w:eastAsia="es-CR"/>
    </w:rPr>
  </w:style>
  <w:style w:type="paragraph" w:customStyle="1" w:styleId="font7">
    <w:name w:val="font7"/>
    <w:basedOn w:val="Normal"/>
    <w:rsid w:val="00EA33EA"/>
    <w:pPr>
      <w:spacing w:before="100" w:beforeAutospacing="1" w:after="100" w:afterAutospacing="1"/>
    </w:pPr>
    <w:rPr>
      <w:rFonts w:ascii="Tahoma" w:hAnsi="Tahoma" w:cs="Tahoma"/>
      <w:b/>
      <w:bCs/>
      <w:color w:val="000000"/>
      <w:sz w:val="18"/>
      <w:szCs w:val="18"/>
      <w:lang w:val="es-CR" w:eastAsia="es-CR"/>
    </w:rPr>
  </w:style>
  <w:style w:type="paragraph" w:customStyle="1" w:styleId="xl65">
    <w:name w:val="xl65"/>
    <w:basedOn w:val="Normal"/>
    <w:rsid w:val="00EA33EA"/>
    <w:pPr>
      <w:spacing w:before="100" w:beforeAutospacing="1" w:after="100" w:afterAutospacing="1"/>
    </w:pPr>
    <w:rPr>
      <w:sz w:val="18"/>
      <w:szCs w:val="18"/>
      <w:lang w:val="es-CR" w:eastAsia="es-CR"/>
    </w:rPr>
  </w:style>
  <w:style w:type="paragraph" w:customStyle="1" w:styleId="xl66">
    <w:name w:val="xl6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67">
    <w:name w:val="xl67"/>
    <w:basedOn w:val="Normal"/>
    <w:rsid w:val="00EA33EA"/>
    <w:pPr>
      <w:spacing w:before="100" w:beforeAutospacing="1" w:after="100" w:afterAutospacing="1"/>
      <w:jc w:val="center"/>
      <w:textAlignment w:val="center"/>
    </w:pPr>
    <w:rPr>
      <w:sz w:val="18"/>
      <w:szCs w:val="18"/>
      <w:lang w:val="es-CR" w:eastAsia="es-CR"/>
    </w:rPr>
  </w:style>
  <w:style w:type="paragraph" w:customStyle="1" w:styleId="xl68">
    <w:name w:val="xl68"/>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es-CR" w:eastAsia="es-CR"/>
    </w:rPr>
  </w:style>
  <w:style w:type="paragraph" w:customStyle="1" w:styleId="xl69">
    <w:name w:val="xl69"/>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0">
    <w:name w:val="xl70"/>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1">
    <w:name w:val="xl7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2">
    <w:name w:val="xl7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3">
    <w:name w:val="xl7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4">
    <w:name w:val="xl74"/>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CR" w:eastAsia="es-CR"/>
    </w:rPr>
  </w:style>
  <w:style w:type="paragraph" w:customStyle="1" w:styleId="xl75">
    <w:name w:val="xl75"/>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6">
    <w:name w:val="xl7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7">
    <w:name w:val="xl77"/>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78">
    <w:name w:val="xl78"/>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79">
    <w:name w:val="xl7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CR" w:eastAsia="es-CR"/>
    </w:rPr>
  </w:style>
  <w:style w:type="paragraph" w:customStyle="1" w:styleId="xl80">
    <w:name w:val="xl80"/>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1">
    <w:name w:val="xl8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2">
    <w:name w:val="xl8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3">
    <w:name w:val="xl8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4">
    <w:name w:val="xl84"/>
    <w:basedOn w:val="Normal"/>
    <w:rsid w:val="00EA33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0"/>
      <w:szCs w:val="20"/>
      <w:lang w:val="es-CR" w:eastAsia="es-CR"/>
    </w:rPr>
  </w:style>
  <w:style w:type="paragraph" w:customStyle="1" w:styleId="xl85">
    <w:name w:val="xl8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6">
    <w:name w:val="xl8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CR" w:eastAsia="es-CR"/>
    </w:rPr>
  </w:style>
  <w:style w:type="paragraph" w:customStyle="1" w:styleId="xl87">
    <w:name w:val="xl87"/>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R" w:eastAsia="es-CR"/>
    </w:rPr>
  </w:style>
  <w:style w:type="paragraph" w:customStyle="1" w:styleId="xl88">
    <w:name w:val="xl88"/>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9">
    <w:name w:val="xl8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90">
    <w:name w:val="xl90"/>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CR" w:eastAsia="es-CR"/>
    </w:rPr>
  </w:style>
  <w:style w:type="paragraph" w:customStyle="1" w:styleId="xl91">
    <w:name w:val="xl91"/>
    <w:basedOn w:val="Normal"/>
    <w:rsid w:val="00EA33EA"/>
    <w:pPr>
      <w:spacing w:before="100" w:beforeAutospacing="1" w:after="100" w:afterAutospacing="1"/>
      <w:jc w:val="center"/>
      <w:textAlignment w:val="center"/>
    </w:pPr>
    <w:rPr>
      <w:lang w:val="es-CR" w:eastAsia="es-CR"/>
    </w:rPr>
  </w:style>
  <w:style w:type="paragraph" w:customStyle="1" w:styleId="xl92">
    <w:name w:val="xl9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3">
    <w:name w:val="xl9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4">
    <w:name w:val="xl9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5">
    <w:name w:val="xl9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CR" w:eastAsia="es-CR"/>
    </w:rPr>
  </w:style>
  <w:style w:type="paragraph" w:customStyle="1" w:styleId="xl96">
    <w:name w:val="xl9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CR" w:eastAsia="es-CR"/>
    </w:rPr>
  </w:style>
  <w:style w:type="paragraph" w:customStyle="1" w:styleId="xl97">
    <w:name w:val="xl97"/>
    <w:basedOn w:val="Normal"/>
    <w:rsid w:val="00EA33EA"/>
    <w:pPr>
      <w:spacing w:before="100" w:beforeAutospacing="1" w:after="100" w:afterAutospacing="1"/>
      <w:jc w:val="center"/>
    </w:pPr>
    <w:rPr>
      <w:sz w:val="18"/>
      <w:szCs w:val="18"/>
      <w:lang w:val="es-CR" w:eastAsia="es-CR"/>
    </w:rPr>
  </w:style>
  <w:style w:type="paragraph" w:customStyle="1" w:styleId="xl98">
    <w:name w:val="xl98"/>
    <w:basedOn w:val="Normal"/>
    <w:rsid w:val="00EA33EA"/>
    <w:pPr>
      <w:spacing w:before="100" w:beforeAutospacing="1" w:after="100" w:afterAutospacing="1"/>
      <w:jc w:val="center"/>
    </w:pPr>
    <w:rPr>
      <w:sz w:val="18"/>
      <w:szCs w:val="18"/>
      <w:lang w:val="es-CR" w:eastAsia="es-CR"/>
    </w:rPr>
  </w:style>
  <w:style w:type="paragraph" w:customStyle="1" w:styleId="xl99">
    <w:name w:val="xl99"/>
    <w:basedOn w:val="Normal"/>
    <w:rsid w:val="00EA33EA"/>
    <w:pPr>
      <w:spacing w:before="100" w:beforeAutospacing="1" w:after="100" w:afterAutospacing="1"/>
      <w:jc w:val="center"/>
      <w:textAlignment w:val="center"/>
    </w:pPr>
    <w:rPr>
      <w:b/>
      <w:bCs/>
      <w:sz w:val="18"/>
      <w:szCs w:val="18"/>
      <w:lang w:val="es-CR" w:eastAsia="es-CR"/>
    </w:rPr>
  </w:style>
  <w:style w:type="paragraph" w:customStyle="1" w:styleId="xl100">
    <w:name w:val="xl100"/>
    <w:basedOn w:val="Normal"/>
    <w:rsid w:val="00EA33EA"/>
    <w:pPr>
      <w:spacing w:before="100" w:beforeAutospacing="1" w:after="100" w:afterAutospacing="1"/>
      <w:jc w:val="center"/>
      <w:textAlignment w:val="center"/>
    </w:pPr>
    <w:rPr>
      <w:sz w:val="18"/>
      <w:szCs w:val="18"/>
      <w:lang w:val="es-CR" w:eastAsia="es-CR"/>
    </w:rPr>
  </w:style>
  <w:style w:type="paragraph" w:customStyle="1" w:styleId="xl101">
    <w:name w:val="xl101"/>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18"/>
      <w:szCs w:val="18"/>
      <w:lang w:val="es-CR" w:eastAsia="es-CR"/>
    </w:rPr>
  </w:style>
  <w:style w:type="paragraph" w:customStyle="1" w:styleId="xl102">
    <w:name w:val="xl102"/>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es-CR" w:eastAsia="es-CR"/>
    </w:rPr>
  </w:style>
  <w:style w:type="paragraph" w:customStyle="1" w:styleId="xl103">
    <w:name w:val="xl10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s-CR" w:eastAsia="es-CR"/>
    </w:rPr>
  </w:style>
  <w:style w:type="paragraph" w:customStyle="1" w:styleId="xl104">
    <w:name w:val="xl10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4F81BD"/>
      <w:sz w:val="20"/>
      <w:szCs w:val="20"/>
      <w:lang w:val="es-CR" w:eastAsia="es-CR"/>
    </w:rPr>
  </w:style>
  <w:style w:type="paragraph" w:customStyle="1" w:styleId="xl105">
    <w:name w:val="xl10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CR" w:eastAsia="es-CR"/>
    </w:rPr>
  </w:style>
  <w:style w:type="paragraph" w:customStyle="1" w:styleId="xl106">
    <w:name w:val="xl10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107">
    <w:name w:val="xl107"/>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0"/>
      <w:szCs w:val="20"/>
      <w:lang w:val="es-CR" w:eastAsia="es-CR"/>
    </w:rPr>
  </w:style>
  <w:style w:type="paragraph" w:customStyle="1" w:styleId="xl108">
    <w:name w:val="xl108"/>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09">
    <w:name w:val="xl109"/>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10">
    <w:name w:val="xl110"/>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11">
    <w:name w:val="xl11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R" w:eastAsia="es-CR"/>
    </w:rPr>
  </w:style>
  <w:style w:type="paragraph" w:customStyle="1" w:styleId="xl112">
    <w:name w:val="xl112"/>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13">
    <w:name w:val="xl11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CR" w:eastAsia="es-CR"/>
    </w:rPr>
  </w:style>
  <w:style w:type="paragraph" w:customStyle="1" w:styleId="xl114">
    <w:name w:val="xl114"/>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15">
    <w:name w:val="xl115"/>
    <w:basedOn w:val="Normal"/>
    <w:rsid w:val="00EA33EA"/>
    <w:pPr>
      <w:spacing w:before="100" w:beforeAutospacing="1" w:after="100" w:afterAutospacing="1"/>
      <w:textAlignment w:val="center"/>
    </w:pPr>
    <w:rPr>
      <w:sz w:val="16"/>
      <w:szCs w:val="16"/>
      <w:lang w:val="es-CR" w:eastAsia="es-CR"/>
    </w:rPr>
  </w:style>
  <w:style w:type="paragraph" w:customStyle="1" w:styleId="xl116">
    <w:name w:val="xl116"/>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7">
    <w:name w:val="xl117"/>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8">
    <w:name w:val="xl118"/>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9">
    <w:name w:val="xl119"/>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20">
    <w:name w:val="xl120"/>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21">
    <w:name w:val="xl121"/>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b/>
      <w:bCs/>
      <w:color w:val="FFFFFF"/>
      <w:sz w:val="20"/>
      <w:szCs w:val="20"/>
      <w:lang w:val="es-CR" w:eastAsia="es-CR"/>
    </w:rPr>
  </w:style>
  <w:style w:type="paragraph" w:customStyle="1" w:styleId="xl122">
    <w:name w:val="xl122"/>
    <w:basedOn w:val="Normal"/>
    <w:rsid w:val="00EA33EA"/>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23">
    <w:name w:val="xl123"/>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color w:val="FF0000"/>
      <w:sz w:val="16"/>
      <w:szCs w:val="16"/>
      <w:lang w:val="es-CR" w:eastAsia="es-CR"/>
    </w:rPr>
  </w:style>
  <w:style w:type="paragraph" w:customStyle="1" w:styleId="xl124">
    <w:name w:val="xl12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R" w:eastAsia="es-CR"/>
    </w:rPr>
  </w:style>
  <w:style w:type="paragraph" w:customStyle="1" w:styleId="xl125">
    <w:name w:val="xl125"/>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6">
    <w:name w:val="xl12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7">
    <w:name w:val="xl127"/>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8">
    <w:name w:val="xl128"/>
    <w:basedOn w:val="Normal"/>
    <w:rsid w:val="00EA33EA"/>
    <w:pPr>
      <w:spacing w:before="100" w:beforeAutospacing="1" w:after="100" w:afterAutospacing="1"/>
      <w:textAlignment w:val="center"/>
    </w:pPr>
    <w:rPr>
      <w:sz w:val="18"/>
      <w:szCs w:val="18"/>
      <w:lang w:val="es-CR" w:eastAsia="es-CR"/>
    </w:rPr>
  </w:style>
  <w:style w:type="paragraph" w:customStyle="1" w:styleId="xl129">
    <w:name w:val="xl12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175777982">
      <w:bodyDiv w:val="1"/>
      <w:marLeft w:val="0"/>
      <w:marRight w:val="0"/>
      <w:marTop w:val="0"/>
      <w:marBottom w:val="0"/>
      <w:divBdr>
        <w:top w:val="none" w:sz="0" w:space="0" w:color="auto"/>
        <w:left w:val="none" w:sz="0" w:space="0" w:color="auto"/>
        <w:bottom w:val="none" w:sz="0" w:space="0" w:color="auto"/>
        <w:right w:val="none" w:sz="0" w:space="0" w:color="auto"/>
      </w:divBdr>
    </w:div>
    <w:div w:id="200872523">
      <w:bodyDiv w:val="1"/>
      <w:marLeft w:val="0"/>
      <w:marRight w:val="0"/>
      <w:marTop w:val="0"/>
      <w:marBottom w:val="0"/>
      <w:divBdr>
        <w:top w:val="none" w:sz="0" w:space="0" w:color="auto"/>
        <w:left w:val="none" w:sz="0" w:space="0" w:color="auto"/>
        <w:bottom w:val="none" w:sz="0" w:space="0" w:color="auto"/>
        <w:right w:val="none" w:sz="0" w:space="0" w:color="auto"/>
      </w:divBdr>
    </w:div>
    <w:div w:id="469976940">
      <w:bodyDiv w:val="1"/>
      <w:marLeft w:val="0"/>
      <w:marRight w:val="0"/>
      <w:marTop w:val="0"/>
      <w:marBottom w:val="0"/>
      <w:divBdr>
        <w:top w:val="none" w:sz="0" w:space="0" w:color="auto"/>
        <w:left w:val="none" w:sz="0" w:space="0" w:color="auto"/>
        <w:bottom w:val="none" w:sz="0" w:space="0" w:color="auto"/>
        <w:right w:val="none" w:sz="0" w:space="0" w:color="auto"/>
      </w:divBdr>
    </w:div>
    <w:div w:id="1358576329">
      <w:bodyDiv w:val="1"/>
      <w:marLeft w:val="0"/>
      <w:marRight w:val="0"/>
      <w:marTop w:val="0"/>
      <w:marBottom w:val="0"/>
      <w:divBdr>
        <w:top w:val="none" w:sz="0" w:space="0" w:color="auto"/>
        <w:left w:val="none" w:sz="0" w:space="0" w:color="auto"/>
        <w:bottom w:val="none" w:sz="0" w:space="0" w:color="auto"/>
        <w:right w:val="none" w:sz="0" w:space="0" w:color="auto"/>
      </w:divBdr>
    </w:div>
    <w:div w:id="162877590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 w:id="21126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9ACB5-61D7-43BA-9C22-A74F51B0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1371</Words>
  <Characters>7545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18</cp:revision>
  <cp:lastPrinted>2016-11-16T19:52:00Z</cp:lastPrinted>
  <dcterms:created xsi:type="dcterms:W3CDTF">2016-10-05T19:53:00Z</dcterms:created>
  <dcterms:modified xsi:type="dcterms:W3CDTF">2016-11-28T15:14:00Z</dcterms:modified>
</cp:coreProperties>
</file>