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0700F">
        <w:rPr>
          <w:rFonts w:ascii="Arial" w:hAnsi="Arial" w:cs="Arial"/>
          <w:b/>
          <w:bCs/>
          <w:iCs/>
          <w:sz w:val="26"/>
          <w:szCs w:val="22"/>
          <w:lang w:val="es-CR"/>
        </w:rPr>
        <w:t>720</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742A1" w:rsidP="003B5F32">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w:t>
            </w:r>
            <w:r w:rsidR="0090700F">
              <w:rPr>
                <w:rFonts w:ascii="Arial" w:eastAsia="Cambria" w:hAnsi="Arial" w:cs="Arial"/>
                <w:sz w:val="22"/>
                <w:szCs w:val="22"/>
                <w:lang w:val="es-ES_tradnl" w:eastAsia="en-US"/>
              </w:rPr>
              <w:t>. Julio Calvo Alvarado, Rector</w:t>
            </w:r>
            <w:r w:rsidR="003B5F32" w:rsidRPr="003B5F32">
              <w:rPr>
                <w:rFonts w:ascii="Arial" w:eastAsia="Cambria" w:hAnsi="Arial" w:cs="Arial"/>
                <w:sz w:val="22"/>
                <w:szCs w:val="22"/>
                <w:lang w:val="es-ES_tradnl" w:eastAsia="en-US"/>
              </w:rPr>
              <w:t xml:space="preserve"> </w:t>
            </w:r>
          </w:p>
          <w:p w:rsidR="003B5F32" w:rsidRPr="003B5F32"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MSc. Ana Rosa Ruiz, Coordinadora de l</w:t>
            </w:r>
            <w:r w:rsidR="000254A5">
              <w:rPr>
                <w:rFonts w:ascii="Arial" w:eastAsia="Cambria" w:hAnsi="Arial" w:cs="Arial"/>
                <w:sz w:val="22"/>
                <w:szCs w:val="22"/>
                <w:lang w:val="es-ES_tradnl" w:eastAsia="en-US"/>
              </w:rPr>
              <w:t>a Oficina de Equidad de Género</w:t>
            </w:r>
          </w:p>
          <w:p w:rsidR="003B5F32" w:rsidRPr="003B5F32"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Ing. Luis Paulino Méndez, Vicerrector de Docencia</w:t>
            </w:r>
          </w:p>
          <w:p w:rsidR="003B5F32" w:rsidRPr="003B5F32"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Dra. Paola Vega, Vicerrectora de Investigación y Extensión</w:t>
            </w:r>
          </w:p>
          <w:p w:rsidR="003B5F32" w:rsidRPr="003B5F32"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Dra. Claudia Madrizova, Vicerrectora de Vida Estudiantil y Servicios Académicos</w:t>
            </w:r>
          </w:p>
          <w:p w:rsidR="003B5F32" w:rsidRPr="003B5F32"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MBA. Harold Blanco, Director del Departamento de Recursos Humanos</w:t>
            </w:r>
          </w:p>
          <w:p w:rsidR="00577426" w:rsidRDefault="003B5F32" w:rsidP="003B5F32">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Sr.</w:t>
            </w:r>
            <w:r>
              <w:rPr>
                <w:rFonts w:ascii="Arial" w:eastAsia="Cambria" w:hAnsi="Arial" w:cs="Arial"/>
                <w:sz w:val="22"/>
                <w:szCs w:val="22"/>
                <w:lang w:val="es-ES_tradnl" w:eastAsia="en-US"/>
              </w:rPr>
              <w:t xml:space="preserve"> Henry Alfaro</w:t>
            </w:r>
            <w:r w:rsidRPr="003B5F32">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e</w:t>
            </w:r>
            <w:r w:rsidRPr="003B5F32">
              <w:rPr>
                <w:rFonts w:ascii="Arial" w:eastAsia="Cambria" w:hAnsi="Arial" w:cs="Arial"/>
                <w:sz w:val="22"/>
                <w:szCs w:val="22"/>
                <w:lang w:val="es-ES_tradnl" w:eastAsia="en-US"/>
              </w:rPr>
              <w:t xml:space="preserve"> de la Federación de Estudiantes del Tecnológico</w:t>
            </w:r>
          </w:p>
          <w:p w:rsidR="003B5F32" w:rsidRPr="00577426" w:rsidRDefault="003B5F32" w:rsidP="003B5F32">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F2A0F" w:rsidP="000F2A0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40799C">
              <w:rPr>
                <w:rFonts w:ascii="Arial" w:eastAsia="Cambria" w:hAnsi="Arial" w:cs="Arial"/>
                <w:b/>
                <w:sz w:val="22"/>
                <w:szCs w:val="22"/>
                <w:lang w:val="es-ES_tradnl" w:eastAsia="en-US"/>
              </w:rPr>
              <w:t>6</w:t>
            </w:r>
            <w:r w:rsidR="007742A1"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noviem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Pr="003B5F32" w:rsidRDefault="007742A1" w:rsidP="003B5F32">
            <w:pPr>
              <w:ind w:left="67"/>
              <w:jc w:val="both"/>
              <w:rPr>
                <w:rFonts w:ascii="Arial" w:eastAsia="Calibri" w:hAnsi="Arial" w:cs="Arial"/>
                <w:b/>
                <w:sz w:val="22"/>
                <w:szCs w:val="22"/>
                <w:lang w:val="es-CR"/>
              </w:rPr>
            </w:pPr>
            <w:r w:rsidRPr="00D958BC">
              <w:rPr>
                <w:rFonts w:ascii="Arial" w:eastAsia="Calibri" w:hAnsi="Arial" w:cs="Arial"/>
                <w:b/>
                <w:sz w:val="22"/>
                <w:szCs w:val="22"/>
              </w:rPr>
              <w:t>Sesión Ordinaria No. 299</w:t>
            </w:r>
            <w:r w:rsidR="000F2A0F">
              <w:rPr>
                <w:rFonts w:ascii="Arial" w:eastAsia="Calibri" w:hAnsi="Arial" w:cs="Arial"/>
                <w:b/>
                <w:sz w:val="22"/>
                <w:szCs w:val="22"/>
              </w:rPr>
              <w:t>8</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0F2A0F">
              <w:rPr>
                <w:rFonts w:ascii="Arial" w:eastAsia="Calibri" w:hAnsi="Arial" w:cs="Arial"/>
                <w:b/>
                <w:sz w:val="22"/>
                <w:szCs w:val="22"/>
              </w:rPr>
              <w:t>7</w:t>
            </w:r>
            <w:r w:rsidRPr="00D958BC">
              <w:rPr>
                <w:rFonts w:ascii="Arial" w:eastAsia="Calibri" w:hAnsi="Arial" w:cs="Arial"/>
                <w:b/>
                <w:sz w:val="22"/>
                <w:szCs w:val="22"/>
              </w:rPr>
              <w:t xml:space="preserve"> del </w:t>
            </w:r>
            <w:r w:rsidR="000F2A0F">
              <w:rPr>
                <w:rFonts w:ascii="Arial" w:eastAsia="Calibri" w:hAnsi="Arial" w:cs="Arial"/>
                <w:b/>
                <w:sz w:val="22"/>
                <w:szCs w:val="22"/>
              </w:rPr>
              <w:t>1</w:t>
            </w:r>
            <w:r w:rsidR="00BB52F5">
              <w:rPr>
                <w:rFonts w:ascii="Arial" w:eastAsia="Calibri" w:hAnsi="Arial" w:cs="Arial"/>
                <w:b/>
                <w:sz w:val="22"/>
                <w:szCs w:val="22"/>
              </w:rPr>
              <w:t>6</w:t>
            </w:r>
            <w:r w:rsidRPr="00D958BC">
              <w:rPr>
                <w:rFonts w:ascii="Arial" w:eastAsia="Calibri" w:hAnsi="Arial" w:cs="Arial"/>
                <w:b/>
                <w:sz w:val="22"/>
                <w:szCs w:val="22"/>
              </w:rPr>
              <w:t xml:space="preserve"> de </w:t>
            </w:r>
            <w:r w:rsidR="000F2A0F">
              <w:rPr>
                <w:rFonts w:ascii="Arial" w:eastAsia="Calibri" w:hAnsi="Arial" w:cs="Arial"/>
                <w:b/>
                <w:sz w:val="22"/>
                <w:szCs w:val="22"/>
              </w:rPr>
              <w:t>noviem</w:t>
            </w:r>
            <w:r w:rsidRPr="00D958BC">
              <w:rPr>
                <w:rFonts w:ascii="Arial" w:eastAsia="Calibri" w:hAnsi="Arial" w:cs="Arial"/>
                <w:b/>
                <w:sz w:val="22"/>
                <w:szCs w:val="22"/>
              </w:rPr>
              <w:t xml:space="preserve">bre de 2016.   </w:t>
            </w:r>
            <w:r w:rsidR="003B5F32" w:rsidRPr="003B5F32">
              <w:rPr>
                <w:rFonts w:ascii="Arial" w:eastAsia="Cambria" w:hAnsi="Arial" w:cs="Arial"/>
                <w:b/>
                <w:sz w:val="22"/>
                <w:szCs w:val="22"/>
                <w:lang w:val="es-ES_tradnl" w:eastAsia="en-US"/>
              </w:rPr>
              <w:t xml:space="preserve">Solicitud de prórroga a Comisión Especial para que elabore la propuesta para lograr mayores niveles de equidad e igualdad en el ITCR, conformada en Sesión Ordinaria No. 2948, Artículo 7, del 18 de noviembre de 2015 </w:t>
            </w:r>
          </w:p>
          <w:p w:rsidR="007742A1" w:rsidRPr="00D958BC" w:rsidRDefault="007742A1" w:rsidP="007742A1">
            <w:pPr>
              <w:tabs>
                <w:tab w:val="right" w:pos="2410"/>
                <w:tab w:val="left" w:pos="2694"/>
              </w:tabs>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r w:rsidR="008D03E7">
        <w:rPr>
          <w:rFonts w:ascii="Arial" w:eastAsia="Cambria" w:hAnsi="Arial" w:cs="Arial"/>
          <w:lang w:val="es-ES_tradnl" w:eastAsia="en-US"/>
        </w:rPr>
        <w:t xml:space="preserve"> </w:t>
      </w:r>
    </w:p>
    <w:p w:rsidR="00BF7AAD" w:rsidRPr="00BF7AAD" w:rsidRDefault="00BF7AAD" w:rsidP="000F2A0F">
      <w:pPr>
        <w:tabs>
          <w:tab w:val="left" w:pos="1134"/>
        </w:tabs>
        <w:ind w:right="567"/>
        <w:jc w:val="both"/>
        <w:rPr>
          <w:rFonts w:ascii="Arial" w:hAnsi="Arial" w:cs="Arial"/>
        </w:rPr>
      </w:pPr>
    </w:p>
    <w:p w:rsidR="003B5F32" w:rsidRPr="003B5F32" w:rsidRDefault="003B5F32" w:rsidP="003B5F32">
      <w:pPr>
        <w:jc w:val="both"/>
        <w:rPr>
          <w:rFonts w:ascii="Arial" w:hAnsi="Arial" w:cs="Arial"/>
          <w:b/>
          <w:lang w:val="x-none"/>
        </w:rPr>
      </w:pPr>
      <w:r w:rsidRPr="003B5F32">
        <w:rPr>
          <w:rFonts w:ascii="Arial" w:hAnsi="Arial" w:cs="Arial"/>
          <w:b/>
          <w:lang w:val="x-none"/>
        </w:rPr>
        <w:t>RESULTANDO QUE:</w:t>
      </w:r>
      <w:bookmarkStart w:id="0" w:name="_GoBack"/>
      <w:bookmarkEnd w:id="0"/>
    </w:p>
    <w:p w:rsidR="003B5F32" w:rsidRPr="003B5F32" w:rsidRDefault="003B5F32" w:rsidP="003B5F32">
      <w:pPr>
        <w:jc w:val="both"/>
        <w:rPr>
          <w:rFonts w:ascii="Arial" w:hAnsi="Arial" w:cs="Arial"/>
          <w:b/>
          <w:lang w:val="x-none"/>
        </w:rPr>
      </w:pPr>
    </w:p>
    <w:p w:rsidR="003B5F32" w:rsidRPr="003B5F32" w:rsidRDefault="003B5F32" w:rsidP="003B5F32">
      <w:pPr>
        <w:numPr>
          <w:ilvl w:val="0"/>
          <w:numId w:val="23"/>
        </w:numPr>
        <w:tabs>
          <w:tab w:val="left" w:pos="426"/>
        </w:tabs>
        <w:ind w:left="426" w:right="-1" w:hanging="426"/>
        <w:contextualSpacing/>
        <w:jc w:val="both"/>
        <w:rPr>
          <w:rFonts w:ascii="Arial" w:eastAsia="Calibri" w:hAnsi="Arial" w:cs="Arial"/>
          <w:bCs/>
          <w:lang w:val="es-CR"/>
        </w:rPr>
      </w:pPr>
      <w:r w:rsidRPr="003B5F32">
        <w:rPr>
          <w:rFonts w:ascii="Arial" w:eastAsia="Calibri" w:hAnsi="Arial" w:cs="Arial"/>
          <w:bCs/>
          <w:lang w:val="es-CR"/>
        </w:rPr>
        <w:t>El Estatuto Orgánico del ITCR, en el Artículo 18, inciso k, señala:</w:t>
      </w:r>
    </w:p>
    <w:p w:rsidR="003B5F32" w:rsidRPr="003B5F32" w:rsidRDefault="003B5F32" w:rsidP="003B5F32">
      <w:pPr>
        <w:ind w:left="284" w:right="-1"/>
        <w:contextualSpacing/>
        <w:jc w:val="both"/>
        <w:rPr>
          <w:rFonts w:ascii="Arial" w:eastAsia="Calibri" w:hAnsi="Arial" w:cs="Arial"/>
          <w:bCs/>
          <w:lang w:val="es-CR"/>
        </w:rPr>
      </w:pPr>
    </w:p>
    <w:p w:rsidR="003B5F32" w:rsidRPr="003B5F32" w:rsidRDefault="003B5F32" w:rsidP="003B5F32">
      <w:pPr>
        <w:ind w:left="426" w:right="-1"/>
        <w:contextualSpacing/>
        <w:jc w:val="both"/>
        <w:rPr>
          <w:rFonts w:ascii="Arial" w:eastAsia="Calibri" w:hAnsi="Arial" w:cs="Arial"/>
          <w:bCs/>
          <w:i/>
          <w:szCs w:val="22"/>
          <w:lang w:val="es-CR"/>
        </w:rPr>
      </w:pPr>
      <w:r w:rsidRPr="003B5F32">
        <w:rPr>
          <w:rFonts w:ascii="Arial" w:eastAsia="Calibri" w:hAnsi="Arial" w:cs="Arial"/>
          <w:bCs/>
          <w:i/>
          <w:szCs w:val="22"/>
          <w:lang w:val="es-CR"/>
        </w:rPr>
        <w:t>“Son funciones del Consejo Institucional:</w:t>
      </w:r>
    </w:p>
    <w:p w:rsidR="003B5F32" w:rsidRPr="003B5F32" w:rsidRDefault="003B5F32" w:rsidP="003B5F32">
      <w:pPr>
        <w:ind w:left="426" w:right="-1"/>
        <w:contextualSpacing/>
        <w:jc w:val="both"/>
        <w:rPr>
          <w:rFonts w:ascii="Arial" w:eastAsia="Calibri" w:hAnsi="Arial" w:cs="Arial"/>
          <w:bCs/>
          <w:i/>
          <w:szCs w:val="22"/>
          <w:lang w:val="es-CR"/>
        </w:rPr>
      </w:pPr>
      <w:r w:rsidRPr="003B5F32">
        <w:rPr>
          <w:rFonts w:ascii="Arial" w:eastAsia="Calibri" w:hAnsi="Arial" w:cs="Arial"/>
          <w:bCs/>
          <w:i/>
          <w:szCs w:val="22"/>
          <w:lang w:val="es-CR"/>
        </w:rPr>
        <w:t>…</w:t>
      </w:r>
    </w:p>
    <w:p w:rsidR="003B5F32" w:rsidRPr="003B5F32" w:rsidRDefault="003B5F32" w:rsidP="003B5F32">
      <w:pPr>
        <w:ind w:left="426" w:right="-1"/>
        <w:contextualSpacing/>
        <w:jc w:val="both"/>
        <w:rPr>
          <w:rFonts w:ascii="Arial" w:eastAsia="Calibri" w:hAnsi="Arial" w:cs="Arial"/>
          <w:bCs/>
          <w:i/>
          <w:szCs w:val="22"/>
          <w:lang w:val="es-CR"/>
        </w:rPr>
      </w:pPr>
      <w:r w:rsidRPr="003B5F32">
        <w:rPr>
          <w:rFonts w:ascii="Arial" w:eastAsia="Calibri" w:hAnsi="Arial" w:cs="Arial"/>
          <w:bCs/>
          <w:i/>
          <w:szCs w:val="22"/>
          <w:lang w:val="es-CR"/>
        </w:rPr>
        <w:t xml:space="preserve"> k. Velar por el trato justo a todos los miembros de la comunidad del Instituto.</w:t>
      </w:r>
    </w:p>
    <w:p w:rsidR="003B5F32" w:rsidRPr="003B5F32" w:rsidRDefault="003B5F32" w:rsidP="003B5F32">
      <w:pPr>
        <w:ind w:left="426" w:right="-1"/>
        <w:contextualSpacing/>
        <w:jc w:val="both"/>
        <w:rPr>
          <w:rFonts w:ascii="Arial" w:eastAsia="Calibri" w:hAnsi="Arial" w:cs="Arial"/>
          <w:bCs/>
          <w:i/>
          <w:szCs w:val="22"/>
          <w:lang w:val="es-CR"/>
        </w:rPr>
      </w:pPr>
      <w:r w:rsidRPr="003B5F32">
        <w:rPr>
          <w:rFonts w:ascii="Arial" w:eastAsia="Calibri" w:hAnsi="Arial" w:cs="Arial"/>
          <w:bCs/>
          <w:i/>
          <w:szCs w:val="22"/>
          <w:lang w:val="es-CR"/>
        </w:rPr>
        <w:t>…”</w:t>
      </w:r>
    </w:p>
    <w:p w:rsidR="003B5F32" w:rsidRPr="003B5F32" w:rsidRDefault="003B5F32" w:rsidP="003B5F32">
      <w:pPr>
        <w:jc w:val="both"/>
        <w:rPr>
          <w:rFonts w:ascii="Arial" w:hAnsi="Arial" w:cs="Arial"/>
          <w:i/>
          <w:sz w:val="22"/>
          <w:szCs w:val="22"/>
          <w:lang w:val="es-CR"/>
        </w:rPr>
      </w:pPr>
    </w:p>
    <w:p w:rsidR="003B5F32" w:rsidRPr="003B5F32" w:rsidRDefault="003B5F32" w:rsidP="003B5F32">
      <w:pPr>
        <w:numPr>
          <w:ilvl w:val="0"/>
          <w:numId w:val="23"/>
        </w:numPr>
        <w:tabs>
          <w:tab w:val="left" w:pos="426"/>
        </w:tabs>
        <w:ind w:left="426" w:right="-1" w:hanging="426"/>
        <w:contextualSpacing/>
        <w:jc w:val="both"/>
        <w:rPr>
          <w:rFonts w:ascii="Arial" w:eastAsia="Cambria" w:hAnsi="Arial" w:cs="Arial"/>
          <w:lang w:val="es-ES_tradnl" w:eastAsia="en-US"/>
        </w:rPr>
      </w:pPr>
      <w:r w:rsidRPr="003B5F32">
        <w:rPr>
          <w:rFonts w:ascii="Arial" w:eastAsia="Cambria" w:hAnsi="Arial" w:cs="Arial"/>
          <w:lang w:val="es-ES_tradnl" w:eastAsia="en-US"/>
        </w:rPr>
        <w:t>El Reglamento del Consejo Institucional, en lo conducente señala:</w:t>
      </w:r>
    </w:p>
    <w:p w:rsidR="003B5F32" w:rsidRPr="003B5F32" w:rsidRDefault="003B5F32" w:rsidP="003B5F32">
      <w:pPr>
        <w:ind w:left="334"/>
        <w:jc w:val="both"/>
        <w:rPr>
          <w:rFonts w:ascii="Arial" w:eastAsia="Cambria" w:hAnsi="Arial" w:cs="Arial"/>
          <w:sz w:val="20"/>
          <w:szCs w:val="20"/>
          <w:lang w:val="es-ES_tradnl" w:eastAsia="en-US"/>
        </w:rPr>
      </w:pP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“Artículo 24:</w:t>
      </w: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Para el estudio de asuntos especiales el Consejo puede constituir comisiones especiales, las cuales tienen carácter temporal, designando en el acto la persona que coordina y el plazo para entregar su dictamen. Además, el Consejo Institucional especificará las funciones.</w:t>
      </w:r>
    </w:p>
    <w:p w:rsidR="003B5F32" w:rsidRPr="003B5F32" w:rsidRDefault="003B5F32" w:rsidP="003B5F32">
      <w:pPr>
        <w:ind w:left="993" w:right="1418"/>
        <w:jc w:val="both"/>
        <w:rPr>
          <w:rFonts w:ascii="Arial" w:eastAsia="Cambria" w:hAnsi="Arial" w:cs="Arial"/>
          <w:i/>
          <w:sz w:val="22"/>
          <w:szCs w:val="22"/>
          <w:lang w:val="es-ES_tradnl" w:eastAsia="en-US"/>
        </w:rPr>
      </w:pP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 xml:space="preserve">Artículo 25 </w:t>
      </w: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Los miembros de las Comisiones Especiales serán juramentados por la Presidencia del Consejo Institucional. La Comisión Permanente respectiva se encargará de dar el debido seguimiento.</w:t>
      </w:r>
    </w:p>
    <w:p w:rsidR="003B5F32" w:rsidRPr="003B5F32" w:rsidRDefault="003B5F32" w:rsidP="003B5F32">
      <w:pPr>
        <w:ind w:left="993" w:right="1418"/>
        <w:jc w:val="both"/>
        <w:rPr>
          <w:rFonts w:ascii="Arial" w:eastAsia="Cambria" w:hAnsi="Arial" w:cs="Arial"/>
          <w:i/>
          <w:sz w:val="22"/>
          <w:szCs w:val="22"/>
          <w:lang w:val="es-ES_tradnl" w:eastAsia="en-US"/>
        </w:rPr>
      </w:pPr>
    </w:p>
    <w:p w:rsidR="003B5F32" w:rsidRPr="003B5F32" w:rsidRDefault="003B5F32" w:rsidP="003B5F32">
      <w:pPr>
        <w:ind w:left="993" w:right="1418"/>
        <w:jc w:val="both"/>
        <w:rPr>
          <w:rFonts w:ascii="Arial" w:hAnsi="Arial" w:cs="Arial"/>
          <w:i/>
          <w:sz w:val="20"/>
          <w:szCs w:val="20"/>
          <w:lang w:val="es-CR" w:eastAsia="es-CR"/>
        </w:rPr>
      </w:pPr>
      <w:r w:rsidRPr="003B5F32">
        <w:rPr>
          <w:rFonts w:ascii="Arial" w:hAnsi="Arial" w:cs="Arial"/>
          <w:i/>
          <w:sz w:val="20"/>
          <w:szCs w:val="20"/>
          <w:lang w:val="es-CR" w:eastAsia="es-CR"/>
        </w:rPr>
        <w:t xml:space="preserve">Artículo 26 </w:t>
      </w:r>
    </w:p>
    <w:p w:rsidR="003B5F32" w:rsidRPr="003B5F32" w:rsidRDefault="003B5F32" w:rsidP="003B5F32">
      <w:pPr>
        <w:ind w:left="993" w:right="1418"/>
        <w:jc w:val="both"/>
        <w:rPr>
          <w:rFonts w:ascii="Arial" w:eastAsia="Cambria" w:hAnsi="Arial" w:cs="Arial"/>
          <w:b/>
          <w:i/>
          <w:sz w:val="20"/>
          <w:szCs w:val="20"/>
          <w:lang w:val="es-ES_tradnl" w:eastAsia="en-US"/>
        </w:rPr>
      </w:pPr>
      <w:r w:rsidRPr="003B5F32">
        <w:rPr>
          <w:rFonts w:ascii="Arial" w:hAnsi="Arial" w:cs="Arial"/>
          <w:i/>
          <w:sz w:val="20"/>
          <w:szCs w:val="20"/>
          <w:lang w:val="es-CR" w:eastAsia="es-CR"/>
        </w:rPr>
        <w:t xml:space="preserve">Las personas que coordinan las Comisiones Especiales serán los responsables de presentar a la Comisión Permanente del Consejo Institucional a la que le fue asignada el asunto, el dictamen o proyecto </w:t>
      </w:r>
      <w:r w:rsidRPr="003B5F32">
        <w:rPr>
          <w:rFonts w:ascii="Arial" w:hAnsi="Arial" w:cs="Arial"/>
          <w:i/>
          <w:sz w:val="20"/>
          <w:szCs w:val="20"/>
          <w:lang w:val="es-CR" w:eastAsia="es-CR"/>
        </w:rPr>
        <w:lastRenderedPageBreak/>
        <w:t xml:space="preserve">respectivo dentro del tiempo señalado por el Órgano. Sin embargo, antes del vencimiento del plazo la Comisión Permanente respectiva podrá ampliarlo hasta por un 50% del tiempo establecido, siempre y cuando medie justa causa. </w:t>
      </w:r>
      <w:r w:rsidRPr="003B5F32">
        <w:rPr>
          <w:rFonts w:ascii="Arial" w:hAnsi="Arial" w:cs="Arial"/>
          <w:i/>
          <w:sz w:val="20"/>
          <w:szCs w:val="20"/>
          <w:lang w:val="es-CR" w:eastAsia="es-CR"/>
        </w:rPr>
        <w:br/>
      </w:r>
      <w:r w:rsidRPr="003B5F32">
        <w:rPr>
          <w:rFonts w:ascii="Arial" w:hAnsi="Arial" w:cs="Arial"/>
          <w:i/>
          <w:sz w:val="20"/>
          <w:szCs w:val="20"/>
          <w:lang w:val="es-CR" w:eastAsia="es-CR"/>
        </w:rPr>
        <w:br/>
        <w:t xml:space="preserve">Si el plazo excede del 50%, original deberá de elevarse al Consejo Institucional. Las solicitudes de prórroga deben remitirse en el respectivo formulario. </w:t>
      </w:r>
    </w:p>
    <w:p w:rsidR="003B5F32" w:rsidRPr="003B5F32" w:rsidRDefault="003B5F32" w:rsidP="003B5F32">
      <w:pPr>
        <w:ind w:left="993" w:right="1418"/>
        <w:jc w:val="both"/>
        <w:outlineLvl w:val="0"/>
        <w:rPr>
          <w:rFonts w:ascii="Arial" w:eastAsia="Cambria" w:hAnsi="Arial" w:cs="Arial"/>
          <w:b/>
          <w:i/>
          <w:sz w:val="22"/>
          <w:szCs w:val="22"/>
          <w:lang w:val="es-ES_tradnl" w:eastAsia="en-US"/>
        </w:rPr>
      </w:pP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 xml:space="preserve">Artículo 28 </w:t>
      </w:r>
    </w:p>
    <w:p w:rsidR="003B5F32" w:rsidRPr="003B5F32" w:rsidRDefault="003B5F32" w:rsidP="003B5F32">
      <w:pPr>
        <w:ind w:left="993" w:right="1418"/>
        <w:jc w:val="both"/>
        <w:rPr>
          <w:rFonts w:ascii="Arial" w:eastAsia="Cambria" w:hAnsi="Arial" w:cs="Arial"/>
          <w:i/>
          <w:sz w:val="22"/>
          <w:szCs w:val="22"/>
          <w:lang w:val="es-ES_tradnl" w:eastAsia="en-US"/>
        </w:rPr>
      </w:pPr>
      <w:r w:rsidRPr="003B5F32">
        <w:rPr>
          <w:rFonts w:ascii="Arial" w:eastAsia="Cambria" w:hAnsi="Arial" w:cs="Arial"/>
          <w:i/>
          <w:sz w:val="22"/>
          <w:szCs w:val="22"/>
          <w:lang w:val="es-ES_tradnl" w:eastAsia="en-US"/>
        </w:rPr>
        <w:t>Para un mejor funcionamiento y desarrollo del trabajo de las comisiones especiales, deberán elaborar una minuta de sus reuniones, rendir informes de avance a solicitud de las Comisiones Permanentes o de la Presidencia del Consejo Institucional y deberán presentar por escrito, un informe final de labores al cumplir el objetivo para el cual fueron creadas. En este informe debe reportarse también el porcentaje de asistencia de cada uno de sus integrantes”.</w:t>
      </w:r>
    </w:p>
    <w:p w:rsidR="003B5F32" w:rsidRPr="003B5F32" w:rsidRDefault="003B5F32" w:rsidP="003B5F32">
      <w:pPr>
        <w:ind w:right="1418"/>
        <w:jc w:val="both"/>
        <w:rPr>
          <w:rFonts w:ascii="Arial" w:eastAsia="Cambria" w:hAnsi="Arial" w:cs="Arial"/>
          <w:i/>
          <w:sz w:val="22"/>
          <w:szCs w:val="22"/>
          <w:lang w:val="es-ES_tradnl" w:eastAsia="en-US"/>
        </w:rPr>
      </w:pPr>
    </w:p>
    <w:p w:rsidR="003B5F32" w:rsidRPr="003B5F32" w:rsidRDefault="003B5F32" w:rsidP="003B5F32">
      <w:pPr>
        <w:numPr>
          <w:ilvl w:val="0"/>
          <w:numId w:val="23"/>
        </w:numPr>
        <w:tabs>
          <w:tab w:val="left" w:pos="426"/>
        </w:tabs>
        <w:ind w:left="426" w:right="-1" w:hanging="426"/>
        <w:contextualSpacing/>
        <w:jc w:val="both"/>
        <w:rPr>
          <w:rFonts w:ascii="Arial" w:eastAsia="Cambria" w:hAnsi="Arial" w:cs="Arial"/>
          <w:lang w:val="es-ES_tradnl" w:eastAsia="en-US"/>
        </w:rPr>
      </w:pPr>
      <w:r w:rsidRPr="003B5F32">
        <w:rPr>
          <w:rFonts w:ascii="Arial" w:eastAsia="Cambria" w:hAnsi="Arial" w:cs="Arial"/>
          <w:lang w:val="es-ES_tradnl" w:eastAsia="en-US"/>
        </w:rPr>
        <w:t>En Sesión Ordinaria No. 2948, Artículo 7, del 18 de noviembre de 2015, acordó la conformación de una Comisión Especial para que elabore la propuesta para lograr mayores niveles de equidad e igualdad en el ITCR.</w:t>
      </w:r>
    </w:p>
    <w:p w:rsidR="003B5F32" w:rsidRPr="003B5F32" w:rsidRDefault="003B5F32" w:rsidP="003B5F32">
      <w:pPr>
        <w:tabs>
          <w:tab w:val="left" w:pos="426"/>
        </w:tabs>
        <w:ind w:left="426" w:right="-1"/>
        <w:contextualSpacing/>
        <w:jc w:val="both"/>
        <w:rPr>
          <w:rFonts w:ascii="Arial" w:eastAsia="Cambria" w:hAnsi="Arial" w:cs="Arial"/>
          <w:lang w:val="es-ES_tradnl" w:eastAsia="en-US"/>
        </w:rPr>
      </w:pPr>
    </w:p>
    <w:p w:rsidR="003B5F32" w:rsidRPr="003B5F32" w:rsidRDefault="003B5F32" w:rsidP="003B5F32">
      <w:pPr>
        <w:numPr>
          <w:ilvl w:val="0"/>
          <w:numId w:val="23"/>
        </w:numPr>
        <w:tabs>
          <w:tab w:val="left" w:pos="426"/>
        </w:tabs>
        <w:ind w:left="426" w:right="-1" w:hanging="426"/>
        <w:contextualSpacing/>
        <w:jc w:val="both"/>
        <w:rPr>
          <w:rFonts w:ascii="Arial" w:eastAsia="Cambria" w:hAnsi="Arial" w:cs="Arial"/>
          <w:lang w:val="es-ES_tradnl" w:eastAsia="en-US"/>
        </w:rPr>
      </w:pPr>
      <w:r w:rsidRPr="003B5F32">
        <w:rPr>
          <w:rFonts w:ascii="Arial" w:eastAsia="Cambria" w:hAnsi="Arial" w:cs="Arial"/>
          <w:lang w:val="es-ES_tradnl" w:eastAsia="en-US"/>
        </w:rPr>
        <w:t>La Secretaría del Consejo Institucional recibe oficio OEG-115-2016, del 27 de mayo de 2016, suscrito por la MSc. Ana Rosa Ruiz, Coordinadora de la Oficina de Equidad de Género, dirigido a la Licda. Bertalía Sánchez, Directora Ejecutiva de la Secretaría del Consejo Institucional, en el cual solicita ampliación de plazo a la Comisión Especial para que elabore la propuesta para lograr mayores niveles de equidad e igualdad en el ITCR, al 30 de setiembre de 2016.</w:t>
      </w:r>
    </w:p>
    <w:p w:rsidR="003B5F32" w:rsidRPr="003B5F32" w:rsidRDefault="003B5F32" w:rsidP="003B5F32">
      <w:pPr>
        <w:ind w:left="708"/>
        <w:rPr>
          <w:rFonts w:ascii="Arial" w:eastAsiaTheme="minorHAnsi" w:hAnsi="Arial" w:cs="Arial"/>
          <w:lang w:val="es-CR"/>
        </w:rPr>
      </w:pPr>
    </w:p>
    <w:p w:rsidR="003B5F32" w:rsidRPr="003B5F32" w:rsidRDefault="003B5F32" w:rsidP="003B5F32">
      <w:pPr>
        <w:numPr>
          <w:ilvl w:val="0"/>
          <w:numId w:val="23"/>
        </w:numPr>
        <w:tabs>
          <w:tab w:val="left" w:pos="426"/>
        </w:tabs>
        <w:ind w:left="426" w:right="-1" w:hanging="426"/>
        <w:contextualSpacing/>
        <w:jc w:val="both"/>
        <w:rPr>
          <w:rFonts w:ascii="Arial" w:eastAsia="Cambria" w:hAnsi="Arial" w:cs="Arial"/>
          <w:lang w:val="es-ES_tradnl" w:eastAsia="en-US"/>
        </w:rPr>
      </w:pPr>
      <w:r w:rsidRPr="003B5F32">
        <w:rPr>
          <w:rFonts w:ascii="Arial" w:eastAsia="Cambria" w:hAnsi="Arial" w:cs="Arial"/>
          <w:lang w:val="es-CR" w:eastAsia="en-US"/>
        </w:rPr>
        <w:t>Mediante oficio SCI-326-2016 del 07 de junio de 2016, la Comisión de Estatuto Orgánico dispone conceder la prórroga del plazo solicitado, hasta el 30 de setiembre de 2016.</w:t>
      </w:r>
    </w:p>
    <w:p w:rsidR="003B5F32" w:rsidRPr="003B5F32" w:rsidRDefault="003B5F32" w:rsidP="003B5F32">
      <w:pPr>
        <w:ind w:right="1418"/>
        <w:jc w:val="both"/>
        <w:rPr>
          <w:rFonts w:ascii="Arial" w:eastAsia="Cambria" w:hAnsi="Arial" w:cs="Arial"/>
          <w:i/>
          <w:sz w:val="22"/>
          <w:szCs w:val="22"/>
          <w:lang w:val="es-ES_tradnl" w:eastAsia="en-US"/>
        </w:rPr>
      </w:pPr>
    </w:p>
    <w:p w:rsidR="003B5F32" w:rsidRPr="003B5F32" w:rsidRDefault="003B5F32" w:rsidP="003B5F32">
      <w:pPr>
        <w:spacing w:after="200"/>
        <w:ind w:left="-142"/>
        <w:jc w:val="both"/>
        <w:rPr>
          <w:rFonts w:ascii="Arial" w:hAnsi="Arial" w:cs="Arial"/>
          <w:b/>
          <w:lang w:val="es-ES_tradnl" w:eastAsia="en-US"/>
        </w:rPr>
      </w:pPr>
      <w:r w:rsidRPr="003B5F32">
        <w:rPr>
          <w:rFonts w:ascii="Arial" w:hAnsi="Arial" w:cs="Arial"/>
          <w:b/>
          <w:lang w:val="es-ES_tradnl" w:eastAsia="en-US"/>
        </w:rPr>
        <w:t>CONSIDERANDO QUE:</w:t>
      </w:r>
    </w:p>
    <w:p w:rsidR="003B5F32" w:rsidRPr="003B5F32" w:rsidRDefault="003B5F32" w:rsidP="003B5F32">
      <w:pPr>
        <w:numPr>
          <w:ilvl w:val="0"/>
          <w:numId w:val="31"/>
        </w:numPr>
        <w:tabs>
          <w:tab w:val="left" w:pos="426"/>
        </w:tabs>
        <w:ind w:left="426" w:right="-1" w:hanging="426"/>
        <w:contextualSpacing/>
        <w:jc w:val="both"/>
        <w:rPr>
          <w:rFonts w:ascii="Arial" w:hAnsi="Arial" w:cs="Arial"/>
          <w:lang w:val="es-CR"/>
        </w:rPr>
      </w:pPr>
      <w:r w:rsidRPr="003B5F32">
        <w:rPr>
          <w:rFonts w:ascii="Arial" w:eastAsia="Cambria" w:hAnsi="Arial" w:cs="Arial"/>
          <w:lang w:val="es-ES_tradnl" w:eastAsia="en-US"/>
        </w:rPr>
        <w:t xml:space="preserve">En reunión de la Comisión de Estatuto Orgánico No. 234-2016, del 04 de octubre de 2016, se recibe a </w:t>
      </w:r>
      <w:r w:rsidRPr="003B5F32">
        <w:rPr>
          <w:rFonts w:ascii="Arial" w:hAnsi="Arial" w:cs="Arial"/>
          <w:lang w:val="es-CR"/>
        </w:rPr>
        <w:t>la MSc. Ana Rosa Ruiz, Licda. Ericka Masís y la Licda. Katherine Palma, integrantes de la Comisión Especial, las cuales realizan una presentación del avance de la propuesta y manifiestan que solicitarían una nueva prórroga para concluir la propuesta y su entrega.</w:t>
      </w:r>
    </w:p>
    <w:p w:rsidR="003B5F32" w:rsidRPr="003B5F32" w:rsidRDefault="003B5F32" w:rsidP="003B5F32">
      <w:pPr>
        <w:tabs>
          <w:tab w:val="num" w:pos="4897"/>
        </w:tabs>
        <w:autoSpaceDE w:val="0"/>
        <w:autoSpaceDN w:val="0"/>
        <w:adjustRightInd w:val="0"/>
        <w:jc w:val="both"/>
        <w:rPr>
          <w:rFonts w:ascii="Arial" w:hAnsi="Arial" w:cs="Arial"/>
          <w:lang w:val="es-CR"/>
        </w:rPr>
      </w:pPr>
    </w:p>
    <w:p w:rsidR="003B5F32" w:rsidRPr="003B5F32" w:rsidRDefault="003B5F32" w:rsidP="003B5F32">
      <w:pPr>
        <w:numPr>
          <w:ilvl w:val="0"/>
          <w:numId w:val="31"/>
        </w:numPr>
        <w:tabs>
          <w:tab w:val="left" w:pos="426"/>
        </w:tabs>
        <w:ind w:left="426" w:right="-1" w:hanging="426"/>
        <w:contextualSpacing/>
        <w:jc w:val="both"/>
        <w:rPr>
          <w:rFonts w:ascii="Arial" w:eastAsia="Cambria" w:hAnsi="Arial" w:cs="Arial"/>
          <w:lang w:val="es-ES_tradnl" w:eastAsia="en-US"/>
        </w:rPr>
      </w:pPr>
      <w:r w:rsidRPr="003B5F32">
        <w:rPr>
          <w:rFonts w:ascii="Arial" w:eastAsia="Cambria" w:hAnsi="Arial" w:cs="Arial"/>
          <w:lang w:val="es-ES_tradnl" w:eastAsia="en-US"/>
        </w:rPr>
        <w:t>La Comisión de Estatuto Orgánico en reunión No. 236-2016 del 18 de octubre de 2016, recibe la solicitud de prórroga solicitada por la Comisión Especial   para que elabore la propuesta para lograr mayores niveles de equidad e igualdad en el ITCR, donde solicitan se les conceda una prórroga al 09 de diciembre de 2017, debido al atraso que se ha tenido por renovación de nombramiento de integrantes y además que el trabajo se hizo más complejo por las siguientes razones:  “</w:t>
      </w:r>
      <w:r w:rsidRPr="003B5F32">
        <w:rPr>
          <w:rFonts w:ascii="Arial" w:eastAsia="Cambria" w:hAnsi="Arial" w:cs="Arial"/>
          <w:i/>
          <w:lang w:val="es-ES_tradnl" w:eastAsia="en-US"/>
        </w:rPr>
        <w:t xml:space="preserve">primero, el diagnóstico de cada sector, se necesita más tiempo.  Segundo, se requiere fortalecer el diagnóstico, por lo que se va a realizar una consulta a la comunidad. Tercero, se considera necesario socializarlo con personas de las otras Sedes y Centros Académicos.  Cuarto, se va a requerir tiempo para el </w:t>
      </w:r>
      <w:r w:rsidRPr="003B5F32">
        <w:rPr>
          <w:rFonts w:ascii="Arial" w:eastAsia="Cambria" w:hAnsi="Arial" w:cs="Arial"/>
          <w:i/>
          <w:lang w:val="es-ES_tradnl" w:eastAsia="en-US"/>
        </w:rPr>
        <w:lastRenderedPageBreak/>
        <w:t>procesamiento y análisis de la consulta.   Quinto, se pasaría a la formulación de la política, pero con insumo validados”.</w:t>
      </w:r>
      <w:r w:rsidRPr="003B5F32">
        <w:rPr>
          <w:rFonts w:ascii="Arial" w:eastAsia="Cambria" w:hAnsi="Arial" w:cs="Arial"/>
          <w:lang w:val="es-ES_tradnl" w:eastAsia="en-US"/>
        </w:rPr>
        <w:t xml:space="preserve">  </w:t>
      </w:r>
    </w:p>
    <w:p w:rsidR="003B5F32" w:rsidRPr="003B5F32" w:rsidRDefault="003B5F32" w:rsidP="003B5F32">
      <w:pPr>
        <w:tabs>
          <w:tab w:val="left" w:pos="426"/>
        </w:tabs>
        <w:ind w:right="-1"/>
        <w:contextualSpacing/>
        <w:jc w:val="both"/>
        <w:rPr>
          <w:rFonts w:ascii="Arial" w:eastAsia="Cambria" w:hAnsi="Arial" w:cs="Arial"/>
          <w:lang w:val="es-ES_tradnl" w:eastAsia="en-US"/>
        </w:rPr>
      </w:pPr>
    </w:p>
    <w:p w:rsidR="003B5F32" w:rsidRPr="003B5F32" w:rsidRDefault="003B5F32" w:rsidP="003B5F32">
      <w:pPr>
        <w:numPr>
          <w:ilvl w:val="0"/>
          <w:numId w:val="31"/>
        </w:numPr>
        <w:tabs>
          <w:tab w:val="left" w:pos="426"/>
        </w:tabs>
        <w:ind w:left="426" w:right="-1" w:hanging="426"/>
        <w:contextualSpacing/>
        <w:jc w:val="both"/>
        <w:rPr>
          <w:rFonts w:ascii="Arial" w:hAnsi="Arial" w:cs="Arial"/>
          <w:lang w:val="es-ES_tradnl" w:eastAsia="en-US"/>
        </w:rPr>
      </w:pPr>
      <w:r w:rsidRPr="003B5F32">
        <w:rPr>
          <w:rFonts w:ascii="Arial" w:hAnsi="Arial" w:cs="Arial"/>
          <w:lang w:val="es-ES_tradnl" w:eastAsia="en-US"/>
        </w:rPr>
        <w:t>En reunión de la Comisión de Estatuto Orgánico No. 239-2016, del 08 de noviembre de 2016, considerando lo expuesto en la solicitud, se dispone elevar la propuesta al pleno, otorgando la prórroga.</w:t>
      </w:r>
    </w:p>
    <w:p w:rsidR="003B5F32" w:rsidRPr="003B5F32" w:rsidRDefault="003B5F32" w:rsidP="003B5F32">
      <w:pPr>
        <w:tabs>
          <w:tab w:val="left" w:pos="426"/>
        </w:tabs>
        <w:ind w:left="426" w:right="-1"/>
        <w:contextualSpacing/>
        <w:jc w:val="both"/>
        <w:rPr>
          <w:rFonts w:ascii="Arial" w:hAnsi="Arial" w:cs="Arial"/>
          <w:lang w:val="es-ES_tradnl" w:eastAsia="en-US"/>
        </w:rPr>
      </w:pPr>
    </w:p>
    <w:p w:rsidR="003B5F32" w:rsidRPr="003B5F32" w:rsidRDefault="003B5F32" w:rsidP="003B5F32">
      <w:pPr>
        <w:spacing w:after="200"/>
        <w:jc w:val="both"/>
        <w:rPr>
          <w:rFonts w:ascii="Arial" w:eastAsia="Calibri" w:hAnsi="Arial" w:cs="Arial"/>
          <w:lang w:val="es-CR"/>
        </w:rPr>
      </w:pPr>
      <w:r w:rsidRPr="003B5F32">
        <w:rPr>
          <w:rFonts w:ascii="Arial" w:eastAsia="Calibri" w:hAnsi="Arial" w:cs="Arial"/>
          <w:b/>
          <w:lang w:val="es-CR"/>
        </w:rPr>
        <w:t xml:space="preserve">SE </w:t>
      </w:r>
      <w:r>
        <w:rPr>
          <w:rFonts w:ascii="Arial" w:eastAsia="Calibri" w:hAnsi="Arial" w:cs="Arial"/>
          <w:b/>
          <w:lang w:val="es-CR"/>
        </w:rPr>
        <w:t>ACUERDA</w:t>
      </w:r>
      <w:r w:rsidRPr="003B5F32">
        <w:rPr>
          <w:rFonts w:ascii="Arial" w:eastAsia="Calibri" w:hAnsi="Arial" w:cs="Arial"/>
          <w:b/>
          <w:lang w:val="es-CR"/>
        </w:rPr>
        <w:t>:</w:t>
      </w:r>
      <w:r w:rsidRPr="003B5F32">
        <w:rPr>
          <w:rFonts w:ascii="Arial" w:eastAsia="Calibri" w:hAnsi="Arial" w:cs="Arial"/>
          <w:lang w:val="es-CR"/>
        </w:rPr>
        <w:t xml:space="preserve"> </w:t>
      </w:r>
    </w:p>
    <w:p w:rsidR="00BF7AAD" w:rsidRPr="003B5F32" w:rsidRDefault="003B5F32" w:rsidP="003B5F32">
      <w:pPr>
        <w:numPr>
          <w:ilvl w:val="0"/>
          <w:numId w:val="32"/>
        </w:numPr>
        <w:spacing w:after="200"/>
        <w:ind w:left="426" w:hanging="426"/>
        <w:jc w:val="both"/>
        <w:rPr>
          <w:rFonts w:ascii="Arial" w:eastAsiaTheme="minorHAnsi" w:hAnsi="Arial" w:cs="Arial"/>
          <w:lang w:val="es-CR"/>
        </w:rPr>
      </w:pPr>
      <w:r w:rsidRPr="003B5F32">
        <w:rPr>
          <w:rFonts w:ascii="Arial" w:eastAsiaTheme="minorHAnsi" w:hAnsi="Arial" w:cs="Arial"/>
          <w:lang w:val="es-CR"/>
        </w:rPr>
        <w:t xml:space="preserve">Conceder a la Comisión Especial encargada de elaborar la propuesta para lograr mayores niveles de equidad e igualdad en el ITCR, la prórroga solicitada al 09 de diciembre de 2017. </w:t>
      </w:r>
    </w:p>
    <w:p w:rsidR="00395647" w:rsidRPr="00BF7AAD" w:rsidRDefault="007742A1" w:rsidP="003B5F32">
      <w:pPr>
        <w:numPr>
          <w:ilvl w:val="0"/>
          <w:numId w:val="32"/>
        </w:numPr>
        <w:spacing w:after="200"/>
        <w:ind w:left="426" w:hanging="426"/>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8D0FEC" w:rsidRDefault="008D0FEC" w:rsidP="008D0FEC">
      <w:pPr>
        <w:spacing w:after="200"/>
        <w:jc w:val="both"/>
        <w:rPr>
          <w:rFonts w:ascii="Arial" w:hAnsi="Arial" w:cs="Arial"/>
          <w:i/>
          <w:sz w:val="16"/>
          <w:szCs w:val="16"/>
        </w:rPr>
      </w:pPr>
    </w:p>
    <w:p w:rsidR="00BF7AAD" w:rsidRPr="00BF7AAD" w:rsidRDefault="00BF7AAD" w:rsidP="00BF7AAD">
      <w:pPr>
        <w:ind w:left="360" w:right="-91"/>
        <w:jc w:val="both"/>
        <w:rPr>
          <w:rFonts w:ascii="Arial" w:hAnsi="Arial" w:cs="Arial"/>
          <w:lang w:val="es-ES_tradnl"/>
        </w:rPr>
      </w:pPr>
    </w:p>
    <w:p w:rsidR="003B5F32" w:rsidRPr="003B5F32" w:rsidRDefault="003B5F32" w:rsidP="003B5F32">
      <w:pPr>
        <w:ind w:left="1701" w:hanging="1843"/>
        <w:rPr>
          <w:rFonts w:ascii="Arial" w:eastAsia="Calibri" w:hAnsi="Arial" w:cs="Arial"/>
          <w:b/>
          <w:sz w:val="20"/>
          <w:szCs w:val="20"/>
          <w:lang w:val="es-ES_tradnl"/>
        </w:rPr>
      </w:pPr>
      <w:r w:rsidRPr="003B5F32">
        <w:rPr>
          <w:rFonts w:ascii="Arial" w:eastAsia="Calibri" w:hAnsi="Arial" w:cs="Arial"/>
          <w:b/>
          <w:sz w:val="20"/>
          <w:szCs w:val="20"/>
          <w:lang w:val="es-ES_tradnl"/>
        </w:rPr>
        <w:t>Palabras clave</w:t>
      </w:r>
      <w:proofErr w:type="gramStart"/>
      <w:r w:rsidRPr="003B5F32">
        <w:rPr>
          <w:rFonts w:ascii="Arial" w:eastAsia="Calibri" w:hAnsi="Arial" w:cs="Arial"/>
          <w:b/>
          <w:sz w:val="20"/>
          <w:szCs w:val="20"/>
          <w:lang w:val="es-ES_tradnl"/>
        </w:rPr>
        <w:t>:  Prórroga</w:t>
      </w:r>
      <w:proofErr w:type="gramEnd"/>
      <w:r w:rsidRPr="003B5F32">
        <w:rPr>
          <w:rFonts w:ascii="Arial" w:eastAsia="Calibri" w:hAnsi="Arial" w:cs="Arial"/>
          <w:b/>
          <w:sz w:val="20"/>
          <w:szCs w:val="20"/>
          <w:lang w:val="es-ES_tradnl"/>
        </w:rPr>
        <w:t xml:space="preserve"> – Comisión Especial – equidad – igualdad – ITCR  </w:t>
      </w:r>
    </w:p>
    <w:p w:rsidR="00BF7AAD" w:rsidRPr="00BF7AAD" w:rsidRDefault="00BF7AAD" w:rsidP="008D0FEC">
      <w:pPr>
        <w:spacing w:after="200"/>
        <w:jc w:val="both"/>
        <w:rPr>
          <w:rFonts w:ascii="Arial" w:hAnsi="Arial" w:cs="Arial"/>
          <w:i/>
          <w:sz w:val="16"/>
          <w:szCs w:val="16"/>
          <w:lang w:val="es-ES_tradnl"/>
        </w:rPr>
      </w:pPr>
    </w:p>
    <w:p w:rsidR="00BF7AAD" w:rsidRDefault="00BF7AAD" w:rsidP="008D0FEC">
      <w:pPr>
        <w:spacing w:after="200"/>
        <w:jc w:val="both"/>
        <w:rPr>
          <w:rFonts w:ascii="Arial" w:hAnsi="Arial" w:cs="Arial"/>
          <w:i/>
          <w:sz w:val="16"/>
          <w:szCs w:val="16"/>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A60666" w:rsidRPr="00A60666" w:rsidRDefault="00A60666" w:rsidP="003B5F32">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C1" w:rsidRDefault="00076EC1">
      <w:r>
        <w:separator/>
      </w:r>
    </w:p>
  </w:endnote>
  <w:endnote w:type="continuationSeparator" w:id="0">
    <w:p w:rsidR="00076EC1" w:rsidRDefault="0007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C1" w:rsidRDefault="00076EC1">
      <w:r>
        <w:separator/>
      </w:r>
    </w:p>
  </w:footnote>
  <w:footnote w:type="continuationSeparator" w:id="0">
    <w:p w:rsidR="00076EC1" w:rsidRDefault="0007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0F2A0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0F2A0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0F2A0F">
      <w:rPr>
        <w:rFonts w:ascii="Arial" w:eastAsia="Cambria" w:hAnsi="Arial" w:cs="Arial"/>
        <w:i/>
        <w:sz w:val="18"/>
        <w:szCs w:val="18"/>
        <w:lang w:val="es-ES_tradnl" w:eastAsia="x-none"/>
      </w:rPr>
      <w:t>1</w:t>
    </w:r>
    <w:r w:rsidR="00774600">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de </w:t>
    </w:r>
    <w:r w:rsidR="000F2A0F">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70C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8">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5">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8">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27"/>
  </w:num>
  <w:num w:numId="3">
    <w:abstractNumId w:val="7"/>
  </w:num>
  <w:num w:numId="4">
    <w:abstractNumId w:val="6"/>
  </w:num>
  <w:num w:numId="5">
    <w:abstractNumId w:val="19"/>
  </w:num>
  <w:num w:numId="6">
    <w:abstractNumId w:val="17"/>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4"/>
  </w:num>
  <w:num w:numId="12">
    <w:abstractNumId w:val="9"/>
  </w:num>
  <w:num w:numId="13">
    <w:abstractNumId w:val="18"/>
  </w:num>
  <w:num w:numId="14">
    <w:abstractNumId w:val="16"/>
  </w:num>
  <w:num w:numId="15">
    <w:abstractNumId w:val="8"/>
  </w:num>
  <w:num w:numId="16">
    <w:abstractNumId w:val="26"/>
  </w:num>
  <w:num w:numId="17">
    <w:abstractNumId w:val="21"/>
  </w:num>
  <w:num w:numId="18">
    <w:abstractNumId w:val="25"/>
  </w:num>
  <w:num w:numId="19">
    <w:abstractNumId w:val="30"/>
  </w:num>
  <w:num w:numId="20">
    <w:abstractNumId w:val="12"/>
  </w:num>
  <w:num w:numId="21">
    <w:abstractNumId w:val="2"/>
  </w:num>
  <w:num w:numId="22">
    <w:abstractNumId w:val="28"/>
  </w:num>
  <w:num w:numId="23">
    <w:abstractNumId w:val="13"/>
  </w:num>
  <w:num w:numId="24">
    <w:abstractNumId w:val="14"/>
  </w:num>
  <w:num w:numId="25">
    <w:abstractNumId w:val="24"/>
  </w:num>
  <w:num w:numId="26">
    <w:abstractNumId w:val="0"/>
  </w:num>
  <w:num w:numId="27">
    <w:abstractNumId w:val="3"/>
  </w:num>
  <w:num w:numId="28">
    <w:abstractNumId w:val="23"/>
  </w:num>
  <w:num w:numId="29">
    <w:abstractNumId w:val="5"/>
  </w:num>
  <w:num w:numId="30">
    <w:abstractNumId w:val="22"/>
  </w:num>
  <w:num w:numId="31">
    <w:abstractNumId w:val="15"/>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5392"/>
    <w:rsid w:val="00107C78"/>
    <w:rsid w:val="0011053E"/>
    <w:rsid w:val="001113FE"/>
    <w:rsid w:val="001125EE"/>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604E"/>
    <w:rsid w:val="0066690B"/>
    <w:rsid w:val="00672900"/>
    <w:rsid w:val="00675C04"/>
    <w:rsid w:val="00676DF3"/>
    <w:rsid w:val="0068346A"/>
    <w:rsid w:val="006842AD"/>
    <w:rsid w:val="006851C8"/>
    <w:rsid w:val="0068595E"/>
    <w:rsid w:val="006862AA"/>
    <w:rsid w:val="006871B3"/>
    <w:rsid w:val="00691130"/>
    <w:rsid w:val="006938F4"/>
    <w:rsid w:val="006976E0"/>
    <w:rsid w:val="006A0409"/>
    <w:rsid w:val="006A2A49"/>
    <w:rsid w:val="006A362E"/>
    <w:rsid w:val="006A4A3E"/>
    <w:rsid w:val="006B0D38"/>
    <w:rsid w:val="006B20B4"/>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3E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EF70CD"/>
    <w:rsid w:val="00F03F64"/>
    <w:rsid w:val="00F042C1"/>
    <w:rsid w:val="00F045FB"/>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9707-FD30-4073-807B-C049381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918</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Patricia Mata Castillo</cp:lastModifiedBy>
  <cp:revision>21</cp:revision>
  <cp:lastPrinted>2016-10-04T21:49:00Z</cp:lastPrinted>
  <dcterms:created xsi:type="dcterms:W3CDTF">2016-10-05T20:00:00Z</dcterms:created>
  <dcterms:modified xsi:type="dcterms:W3CDTF">2017-01-16T17:13:00Z</dcterms:modified>
</cp:coreProperties>
</file>