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SCI-727-2014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248.0" w:type="dxa"/>
        <w:jc w:val="left"/>
        <w:tblInd w:w="-6.999999999999993" w:type="dxa"/>
        <w:tblLayout w:type="fixed"/>
        <w:tblLook w:val="0000"/>
      </w:tblPr>
      <w:tblGrid>
        <w:gridCol w:w="1123"/>
        <w:gridCol w:w="11"/>
        <w:gridCol w:w="8114"/>
        <w:tblGridChange w:id="0">
          <w:tblGrid>
            <w:gridCol w:w="1123"/>
            <w:gridCol w:w="11"/>
            <w:gridCol w:w="8114"/>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Calvo Alvarado,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Edgardo Vargas, Director Sede Regional San Carlos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Grettel Ortíz A., Directora Oficina de Asesoría Legal</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24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Sesión Ordinaria No. 2886, Artículo 13, del 24 de setiembre de 2014. Autorización  para que el Dr. Julio C.  Calvo Alvarado, Rector, tramite ante la Contraloría General de la República, compra de terreno en Barrio Amón</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Fonts w:ascii="Arial" w:cs="Arial" w:eastAsia="Arial" w:hAnsi="Arial"/>
          <w:b w:val="1"/>
          <w:sz w:val="24"/>
          <w:szCs w:val="24"/>
          <w:rtl w:val="0"/>
        </w:rPr>
        <w:t xml:space="preserve">RESULTANDO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26 del  Estatuto Orgánico del Instituto Tecnológico de Costa Rica, en lo conducente señala lo siguiente: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i w:val="1"/>
          <w:sz w:val="24"/>
          <w:szCs w:val="24"/>
          <w:rtl w:val="0"/>
        </w:rPr>
        <w:t xml:space="preserve">“Son funciones del Rector:</w:t>
      </w:r>
    </w:p>
    <w:p w:rsidR="00000000" w:rsidDel="00000000" w:rsidP="00000000" w:rsidRDefault="00000000" w:rsidRPr="00000000">
      <w:pPr>
        <w:ind w:firstLine="360"/>
        <w:contextualSpacing w:val="0"/>
        <w:jc w:val="both"/>
      </w:pPr>
      <w:r w:rsidDel="00000000" w:rsidR="00000000" w:rsidRPr="00000000">
        <w:rPr>
          <w:rFonts w:ascii="Arial" w:cs="Arial" w:eastAsia="Arial" w:hAnsi="Arial"/>
          <w:i w:val="1"/>
          <w:sz w:val="24"/>
          <w:szCs w:val="24"/>
          <w:rtl w:val="0"/>
        </w:rPr>
        <w:t xml:space="preserve">a  …</w:t>
      </w:r>
    </w:p>
    <w:p w:rsidR="00000000" w:rsidDel="00000000" w:rsidP="00000000" w:rsidRDefault="00000000" w:rsidRPr="00000000">
      <w:pPr>
        <w:ind w:firstLine="360"/>
        <w:contextualSpacing w:val="0"/>
        <w:jc w:val="both"/>
      </w:pPr>
      <w:r w:rsidDel="00000000" w:rsidR="00000000" w:rsidRPr="00000000">
        <w:rPr>
          <w:rFonts w:ascii="Arial" w:cs="Arial" w:eastAsia="Arial" w:hAnsi="Arial"/>
          <w:i w:val="1"/>
          <w:sz w:val="24"/>
          <w:szCs w:val="24"/>
          <w:rtl w:val="0"/>
        </w:rPr>
        <w:t xml:space="preserve">b  …</w:t>
      </w:r>
    </w:p>
    <w:p w:rsidR="00000000" w:rsidDel="00000000" w:rsidP="00000000" w:rsidRDefault="00000000" w:rsidRPr="00000000">
      <w:pPr>
        <w:ind w:firstLine="360"/>
        <w:contextualSpacing w:val="0"/>
        <w:jc w:val="both"/>
      </w:pPr>
      <w:r w:rsidDel="00000000" w:rsidR="00000000" w:rsidRPr="00000000">
        <w:rPr>
          <w:rFonts w:ascii="Arial" w:cs="Arial" w:eastAsia="Arial" w:hAnsi="Arial"/>
          <w:i w:val="1"/>
          <w:sz w:val="24"/>
          <w:szCs w:val="24"/>
          <w:rtl w:val="0"/>
        </w:rPr>
        <w:t xml:space="preserve">c. Ejercer la representación judicial y extrajudicial del Instituto…”</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Consejo Institucional en la Sesión Ordinaria No. 2872, Artículo 10, del 11 de junio de 2014, aprueba el  Presupuesto Extraordinario No. 02-2014 y su vinculación con el Plan Anual Operativo 2014, en el cual se incluye  la suma de 300 000 000  (Trescientos millones de colones) para la Compra de Casa en Barrio Amón, atendiendo las necesidades de crecimiento y apertura en carreras, escuelas de servicio, servicios  de apoyo a la academia, así como al interés de coadyuvar al rescate y protección del patrimonio arquitectónico de la ciudad de San José.</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Asesoría Legal  del Instituto Tecnológico ha gestionado el expediente administrativo con la documentación  correspondiente, sea el Oficio DCA-2507 de 23 de setiembre de 2014, según la cual ya se está en el proceso para la compra del inmueble inscrito a Folio Real, Partido de San José Número 0004825.000, cuya medida es de 592m ², más conocida como la Casa Verde.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En dicha nota se advierte  de la necesidad de  presentar el acuerdo respectivo ante el área  de Contratación Administrativa  de la Contraloría General de la Republica, para  que el señor Rector Julio César Calvo Alvarado, sea autorizado por el Consejo Institucional para completar dicho proceso legal.</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el plazo que se está otorgando para  presentar la autorización arriba descrita, es de  tres días hábiles a partir del 23 de setiembre, siendo que el plazo finalizaría el día  26 de los corrientes.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no obtenerse la autorización se archivaría todo el expediente y se obligaría con ello a comenzar nuevamente toda la tramitación, misma que se estaría  completando con este último requerimiento.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de interés institucional la adquisición de la finca del Partido de San José, inscrita bajo el sistema de Folio Real, Número 00048025-000, conocida como la casa verde, según plano catastrado SJ- 1598593-2012, por el monto de 256.080.000.00 colones.</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Actualmente se está gestionando la autorización final para la compa venta   del citado inmueble, ante la División de Contratación Administrativa de la Contraloría General de la República.</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requiere por parte del Consejo Institucional a través de un acuerdo en firme, para que el señor Rector, Dr. Julio Calvo Alvarado, quede autorizado para tramitar  la autorización de compra  ante el órgano Contralor  conforme así se ha prevenido en el oficio DAC- 2507,  de 23 de setiembre de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4"/>
          <w:szCs w:val="24"/>
          <w:rtl w:val="0"/>
        </w:rPr>
        <w:t xml:space="preserve">SE ACUERDA: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
        </w:numPr>
        <w:ind w:left="426" w:hanging="426"/>
        <w:jc w:val="both"/>
        <w:rPr>
          <w:rFonts w:ascii="Arial" w:cs="Arial" w:eastAsia="Arial" w:hAnsi="Arial"/>
        </w:rPr>
      </w:pPr>
      <w:r w:rsidDel="00000000" w:rsidR="00000000" w:rsidRPr="00000000">
        <w:rPr>
          <w:rFonts w:ascii="Arial" w:cs="Arial" w:eastAsia="Arial" w:hAnsi="Arial"/>
          <w:sz w:val="24"/>
          <w:szCs w:val="24"/>
          <w:rtl w:val="0"/>
        </w:rPr>
        <w:t xml:space="preserve">Autorizar  al señor Dr. Julio César Calvo Alvarado, Rector, en su calidad de representante legal del Instituto Tecnológico de Costa Rica, para que se apersone ante la División de Contratación Administrativa de la Contraloría General de la Republica, para la obtención de la autorización de compra del inmueble - Folio Real, Partido de San José - 00048025-000, cuya medida es de 592m², según plano catastrado SJ- 1598593-2012, por el monto de 256.080.000.00 colones.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426" w:hanging="426"/>
        <w:jc w:val="both"/>
        <w:rPr>
          <w:rFonts w:ascii="Arial" w:cs="Arial" w:eastAsia="Arial" w:hAnsi="Arial"/>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16"/>
          <w:szCs w:val="16"/>
          <w:rtl w:val="0"/>
        </w:rPr>
        <w:t xml:space="preserve">PALABRAS CLAVE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sz w:val="16"/>
          <w:szCs w:val="16"/>
          <w:rtl w:val="0"/>
        </w:rPr>
        <w:t xml:space="preserve">Autorización – Rector-  apersone– CGR – compra – inmueble – Barrio -Amón</w:t>
      </w:r>
      <w:r w:rsidDel="00000000" w:rsidR="00000000" w:rsidRPr="00000000">
        <w:rPr>
          <w:rtl w:val="0"/>
        </w:rPr>
      </w:r>
    </w:p>
    <w:p w:rsidR="00000000" w:rsidDel="00000000" w:rsidP="00000000" w:rsidRDefault="00000000" w:rsidRPr="00000000">
      <w:pPr>
        <w:tabs>
          <w:tab w:val="left" w:pos="1182"/>
        </w:tabs>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3"/>
        <w:bidi w:val="0"/>
        <w:tblW w:w="9902.0" w:type="dxa"/>
        <w:jc w:val="left"/>
        <w:tblInd w:w="-115.0" w:type="dxa"/>
        <w:tblLayout w:type="fixed"/>
        <w:tblLook w:val="0400"/>
      </w:tblPr>
      <w:tblGrid>
        <w:gridCol w:w="9680"/>
        <w:gridCol w:w="222"/>
        <w:tblGridChange w:id="0">
          <w:tblGrid>
            <w:gridCol w:w="9680"/>
            <w:gridCol w:w="222"/>
          </w:tblGrid>
        </w:tblGridChange>
      </w:tblGrid>
      <w:tr>
        <w:trPr>
          <w:trHeight w:val="180" w:hRule="atLeast"/>
        </w:trPr>
        <w:tc>
          <w:tcPr/>
          <w:p w:rsidR="00000000" w:rsidDel="00000000" w:rsidP="00000000" w:rsidRDefault="00000000" w:rsidRPr="00000000">
            <w:pPr>
              <w:contextualSpacing w:val="0"/>
              <w:jc w:val="both"/>
            </w:pPr>
            <w:r w:rsidDel="00000000" w:rsidR="00000000" w:rsidRPr="00000000">
              <w:rPr>
                <w:rtl w:val="0"/>
              </w:rPr>
            </w:r>
          </w:p>
          <w:tbl>
            <w:tblPr>
              <w:tblStyle w:val="Table2"/>
              <w:bidi w:val="0"/>
              <w:tblW w:w="9464.0" w:type="dxa"/>
              <w:jc w:val="left"/>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bookmarkStart w:colFirst="0" w:colLast="0" w:name="_30j0zll" w:id="1"/>
                  <w:bookmarkEnd w:id="1"/>
                  <w:r w:rsidDel="00000000" w:rsidR="00000000" w:rsidRPr="00000000">
                    <w:rPr>
                      <w:rFonts w:ascii="Arial" w:cs="Arial" w:eastAsia="Arial" w:hAnsi="Arial"/>
                      <w:b w:val="1"/>
                      <w:sz w:val="16"/>
                      <w:szCs w:val="16"/>
                      <w:rtl w:val="0"/>
                    </w:rPr>
                    <w:t xml:space="preserve">Vicerrectoría de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Limón</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720" w:hanging="720"/>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7f7f7f"/>
          <w:rtl w:val="0"/>
        </w:rPr>
        <w:t xml:space="preserve">OPI-0637-2014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Para:</w:t>
        <w:tab/>
        <w:tab/>
      </w:r>
      <w:r w:rsidDel="00000000" w:rsidR="00000000" w:rsidRPr="00000000">
        <w:rPr>
          <w:rFonts w:ascii="Arial" w:cs="Arial" w:eastAsia="Arial" w:hAnsi="Arial"/>
          <w:b w:val="1"/>
          <w:sz w:val="24"/>
          <w:szCs w:val="24"/>
          <w:rtl w:val="0"/>
        </w:rPr>
        <w:t xml:space="preserve">Ing. Alexander Valerín Castro, Coordinador</w:t>
      </w:r>
    </w:p>
    <w:p w:rsidR="00000000" w:rsidDel="00000000" w:rsidP="00000000" w:rsidRDefault="00000000" w:rsidRPr="00000000">
      <w:pPr>
        <w:ind w:left="1440" w:firstLine="0"/>
        <w:contextualSpacing w:val="0"/>
      </w:pPr>
      <w:r w:rsidDel="00000000" w:rsidR="00000000" w:rsidRPr="00000000">
        <w:rPr>
          <w:rFonts w:ascii="Arial" w:cs="Arial" w:eastAsia="Arial" w:hAnsi="Arial"/>
          <w:b w:val="1"/>
          <w:sz w:val="24"/>
          <w:szCs w:val="24"/>
          <w:rtl w:val="0"/>
        </w:rPr>
        <w:t xml:space="preserve">Comisión de Planificación y Administración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De:</w:t>
        <w:tab/>
        <w:tab/>
      </w:r>
      <w:r w:rsidDel="00000000" w:rsidR="00000000" w:rsidRPr="00000000">
        <w:rPr>
          <w:rFonts w:ascii="Arial" w:cs="Arial" w:eastAsia="Arial" w:hAnsi="Arial"/>
          <w:b w:val="1"/>
          <w:sz w:val="24"/>
          <w:szCs w:val="24"/>
          <w:rtl w:val="0"/>
        </w:rPr>
        <w:t xml:space="preserve">MAU. Tatiana Fernández Martín, Directora</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sz w:val="24"/>
          <w:szCs w:val="24"/>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sz w:val="24"/>
          <w:szCs w:val="24"/>
          <w:rtl w:val="0"/>
        </w:rPr>
        <w:t xml:space="preserve">Fecha:</w:t>
        <w:tab/>
      </w:r>
      <w:r w:rsidDel="00000000" w:rsidR="00000000" w:rsidRPr="00000000">
        <w:rPr>
          <w:rFonts w:ascii="Arial" w:cs="Arial" w:eastAsia="Arial" w:hAnsi="Arial"/>
          <w:b w:val="1"/>
          <w:sz w:val="24"/>
          <w:szCs w:val="24"/>
          <w:rtl w:val="0"/>
        </w:rPr>
        <w:t xml:space="preserve">04 de setiembre del 2014</w:t>
      </w:r>
      <w:r w:rsidDel="00000000" w:rsidR="00000000" w:rsidRPr="00000000">
        <w:rPr>
          <w:rFonts w:ascii="Arial" w:cs="Arial" w:eastAsia="Arial" w:hAnsi="Arial"/>
          <w:sz w:val="24"/>
          <w:szCs w:val="24"/>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sz w:val="24"/>
          <w:szCs w:val="24"/>
          <w:rtl w:val="0"/>
        </w:rPr>
        <w:t xml:space="preserve">Asunto:</w:t>
        <w:tab/>
      </w:r>
      <w:r w:rsidDel="00000000" w:rsidR="00000000" w:rsidRPr="00000000">
        <w:rPr>
          <w:rFonts w:ascii="Arial" w:cs="Arial" w:eastAsia="Arial" w:hAnsi="Arial"/>
          <w:b w:val="1"/>
          <w:sz w:val="24"/>
          <w:szCs w:val="24"/>
          <w:rtl w:val="0"/>
        </w:rPr>
        <w:t xml:space="preserve">Dictamen sobre la solicitud de modificación de la utilización de la plaza FS0030  </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En atención al oficio Vicerrectoría de Docencia ViDa-661-2014 del 03 de setiembre del 2014 y  al oficio RH-1013-2014 del 29 de julio de 2014,  donde se presenta la justificación sobre la modificación a la utilización de la plaza FS0030, la cual quedaría según el siguiente cuadro: </w:t>
      </w:r>
    </w:p>
    <w:tbl>
      <w:tblPr>
        <w:tblStyle w:val="Table4"/>
        <w:bidi w:val="0"/>
        <w:tblW w:w="8783.0" w:type="dxa"/>
        <w:jc w:val="left"/>
        <w:tblLayout w:type="fixed"/>
        <w:tblLook w:val="0400"/>
      </w:tblPr>
      <w:tblGrid>
        <w:gridCol w:w="1011"/>
        <w:gridCol w:w="1008"/>
        <w:gridCol w:w="1005"/>
        <w:gridCol w:w="866"/>
        <w:gridCol w:w="1584"/>
        <w:gridCol w:w="1152"/>
        <w:gridCol w:w="2157"/>
        <w:tblGridChange w:id="0">
          <w:tblGrid>
            <w:gridCol w:w="1011"/>
            <w:gridCol w:w="1008"/>
            <w:gridCol w:w="1005"/>
            <w:gridCol w:w="866"/>
            <w:gridCol w:w="1584"/>
            <w:gridCol w:w="1152"/>
            <w:gridCol w:w="2157"/>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Número de plaza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Puesto</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Categoría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Jornada %</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Equivalencia de Tiempo Completo</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Adscrita 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Justificación</w:t>
            </w:r>
          </w:p>
        </w:tc>
      </w:tr>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FS0030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0,79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b w:val="1"/>
                <w:sz w:val="16"/>
                <w:szCs w:val="16"/>
                <w:rtl w:val="0"/>
              </w:rPr>
              <w:t xml:space="preserve">Vicerrectoría de Docencia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Para cubrir la demanda de los cursos para el II semestre del 2014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requieren para cubrir la demanda de cursos del II semestre del 2014.</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Las plazas mencionadas, se vinculan con:</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Objetivos Estratégicos</w:t>
      </w:r>
      <w:r w:rsidDel="00000000" w:rsidR="00000000" w:rsidRPr="00000000">
        <w:rPr>
          <w:rFonts w:ascii="Arial" w:cs="Arial" w:eastAsia="Arial" w:hAnsi="Arial"/>
          <w:color w:val="000000"/>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 Fortalecer los programas académicos en los campos de ciencia y tecnología a nivel de pregrado, grado y posgrado.</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 Robustecer  el vínculo de la Institución con la sociedad  en el marco del modelo del desarrollo sostenible a través de la investigación científica y tecnológica, la extensión, la educación continua y la relación con los graduados.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 Incrementar  el acceso a  los  recursos financieros provenientes del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Acciones Estratégicas: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1.4 Incrementar la oferta  y la cobertura de programas académicos de grado y posgrado para el desarrollo y la aplicación de la ciencia y tecnología. (Acción Estratégica)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3.5 Fortalecer las acciones de extensión, transferencia tecnológica e innovación como mecanismos para promover el desarrollo económico y social del país.  (Acción Estratégica)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3.6 Mejorar los mecanismos de difusión y proyección nacional e internacional del quehacer académico institucional.</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11.2 Mejorar la coordinación interuniversitaria para el desarrollo de proyectos y programas financiados con 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Objetivos Operativos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1.2 Formar profesionales en los campos de la ciencia y la tecnología, en las áreas atendidas por el Instituto, a nivel de bachillerato, licenciatura, maestría y doctorado.</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11.2 Desarrollar iniciativas de vinculación con las universidades y la sociedad utilizando 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Las mismas se vinculan directamente con el Plan Anual Operativo  2014:</w:t>
      </w:r>
    </w:p>
    <w:tbl>
      <w:tblPr>
        <w:tblStyle w:val="Table5"/>
        <w:bidi w:val="0"/>
        <w:tblW w:w="9946.0" w:type="dxa"/>
        <w:jc w:val="left"/>
        <w:tblInd w:w="-567.0" w:type="dxa"/>
        <w:tblLayout w:type="fixed"/>
        <w:tblLook w:val="0400"/>
      </w:tblPr>
      <w:tblGrid>
        <w:gridCol w:w="1010"/>
        <w:gridCol w:w="1872"/>
        <w:gridCol w:w="1874"/>
        <w:gridCol w:w="1834"/>
        <w:gridCol w:w="376"/>
        <w:gridCol w:w="1826"/>
        <w:gridCol w:w="1154"/>
        <w:tblGridChange w:id="0">
          <w:tblGrid>
            <w:gridCol w:w="1010"/>
            <w:gridCol w:w="1872"/>
            <w:gridCol w:w="1874"/>
            <w:gridCol w:w="1834"/>
            <w:gridCol w:w="376"/>
            <w:gridCol w:w="1826"/>
            <w:gridCol w:w="1154"/>
          </w:tblGrid>
        </w:tblGridChange>
      </w:tblGrid>
      <w:tr>
        <w:trPr>
          <w:trHeight w:val="460" w:hRule="atLeast"/>
        </w:trPr>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Perspectiva</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Objetivo Estratégico</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Acciones Estratégicas             Objetivo Operativo</w:t>
            </w:r>
          </w:p>
        </w:tc>
        <w:tc>
          <w:tcPr>
            <w:gridSpan w:val="2"/>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Meta</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Indicador</w:t>
            </w:r>
          </w:p>
        </w:tc>
        <w:tc>
          <w:tcPr>
            <w:tcBorders>
              <w:top w:color="000000" w:space="0" w:sz="8" w:val="single"/>
              <w:lef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Políticas Específicas</w:t>
            </w:r>
          </w:p>
        </w:tc>
      </w:tr>
      <w:tr>
        <w:trPr>
          <w:trHeight w:val="1180" w:hRule="atLeast"/>
        </w:trPr>
        <w:tc>
          <w:tcPr>
            <w:vMerge w:val="restart"/>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sz w:val="14"/>
                <w:szCs w:val="14"/>
                <w:rtl w:val="0"/>
              </w:rPr>
              <w:t xml:space="preserve">USUARIOS</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1. Fortalecer los programas académicos en los campos de ciencia y tecnología a nivel de pregrado, grado y posgrado.</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 Desarrollar actividades institucionales que favorezcan el desarrollo de las habilidades sociales y competencias, de los y las estudiantes en su formación académica.  (Acción Estratégica)</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 Establecer un programa de formación pedagógica del personal docente en estrategias didácticas que contemplen el abordaje de las habilidades blandas dentro de los programas académicos.</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1.2.1.1 Cantidad de profesores que participan en el programa de formación pedagógica.</w:t>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1.1.4</w:t>
              <w:br w:type="textWrapping"/>
              <w:t xml:space="preserve">1.6.2</w:t>
            </w:r>
          </w:p>
        </w:tc>
      </w:tr>
      <w:tr>
        <w:trPr>
          <w:trHeight w:val="42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1.2.1.2 Cantidad de jornadas realizadas al año.</w:t>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 </w:t>
            </w:r>
          </w:p>
        </w:tc>
      </w:tr>
      <w:tr>
        <w:trPr>
          <w:trHeight w:val="2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 Formar profesionales en los campos de la ciencia y la tecnología, en las áreas atendidas por el Instituto, a nivel de bachillerato, licenciatura, maestría y doctorado. (Objetivo Operativo)</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1.2.2: Ofrecer 33 programas de grado (21 Bachilleratos y/o Licenciaturas continuas, 3 bachilleratos articulados, 9 Licenciaturas para egresados) y 12 programas de posgrado (11 Maestrías y 1 Doctorado).</w:t>
            </w:r>
          </w:p>
        </w:tc>
        <w:tc>
          <w:tcPr>
            <w:vMerge w:val="restart"/>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963634"/>
                <w:sz w:val="14"/>
                <w:szCs w:val="14"/>
                <w:rtl w:val="0"/>
              </w:rPr>
              <w:t xml:space="preserve">OPERATIVA</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1.2.2.1.1 Cantidad de programas ofrecidos.</w:t>
            </w:r>
          </w:p>
        </w:tc>
        <w:tc>
          <w:tcPr>
            <w:tcBorders>
              <w:top w:color="000000" w:space="0" w:sz="8" w:val="single"/>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1.1.1</w:t>
              <w:br w:type="textWrapping"/>
              <w:t xml:space="preserve">1.1.2</w:t>
              <w:br w:type="textWrapping"/>
              <w:t xml:space="preserve">1.1.3</w:t>
              <w:br w:type="textWrapping"/>
              <w:t xml:space="preserve">1.1.5</w:t>
              <w:br w:type="textWrapping"/>
              <w:t xml:space="preserve">3.1.1</w:t>
              <w:br w:type="textWrapping"/>
              <w:t xml:space="preserve">3.2.2</w:t>
              <w:br w:type="textWrapping"/>
              <w:t xml:space="preserve">3.2.3</w:t>
              <w:br w:type="textWrapping"/>
              <w:t xml:space="preserve">3.3.1</w:t>
            </w:r>
          </w:p>
        </w:tc>
      </w:tr>
      <w:tr>
        <w:trPr>
          <w:trHeight w:val="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pPr>
            <w:r w:rsidDel="00000000" w:rsidR="00000000" w:rsidRPr="00000000">
              <w:rPr>
                <w:rtl w:val="0"/>
              </w:rPr>
            </w:r>
          </w:p>
        </w:tc>
      </w:tr>
      <w:tr>
        <w:trPr>
          <w:trHeight w:val="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 </w:t>
            </w:r>
          </w:p>
        </w:tc>
      </w:tr>
      <w:tr>
        <w:trPr>
          <w:trHeight w:val="22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tcBorders>
          </w:tcPr>
          <w:p w:rsidR="00000000" w:rsidDel="00000000" w:rsidP="00000000" w:rsidRDefault="00000000" w:rsidRPr="00000000">
            <w:pPr>
              <w:contextualSpacing w:val="0"/>
            </w:pPr>
            <w:r w:rsidDel="00000000" w:rsidR="00000000" w:rsidRPr="00000000">
              <w:rPr>
                <w:rtl w:val="0"/>
              </w:rPr>
            </w:r>
          </w:p>
        </w:tc>
      </w:tr>
      <w:tr>
        <w:trPr>
          <w:trHeight w:val="128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vMerge w:val="restart"/>
            <w:tcBorders>
              <w:top w:color="000000" w:space="0" w:sz="4" w:val="single"/>
              <w:left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3. Robustecer  el vínculo de la Institución con la sociedad  en el marco del modelo del desarrollo sostenible a través de la investigación científica y tecnológica, la extensión, la educación continua y la relación con los graduados.</w:t>
            </w:r>
          </w:p>
          <w:p w:rsidR="00000000" w:rsidDel="00000000" w:rsidP="00000000" w:rsidRDefault="00000000" w:rsidRPr="00000000">
            <w:pPr>
              <w:contextualSpacing w:val="0"/>
            </w:pPr>
            <w:r w:rsidDel="00000000" w:rsidR="00000000" w:rsidRPr="00000000">
              <w:rPr>
                <w:rFonts w:ascii="Libre Baskerville" w:cs="Libre Baskerville" w:eastAsia="Libre Baskerville" w:hAnsi="Libre Baskerville"/>
                <w:i w:val="1"/>
                <w:color w:val="000000"/>
                <w:sz w:val="14"/>
                <w:szCs w:val="14"/>
                <w:rtl w:val="0"/>
              </w:rPr>
              <w:t xml:space="preserve"> </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3.5 Fortalecer las acciones de extensión, transferencia tecnológica e innovación como mecanismos para promover el desarrollo económico y social del país.  (Acción Estratégica)</w:t>
            </w:r>
          </w:p>
        </w:tc>
        <w:tc>
          <w:tcPr>
            <w:tcBorders>
              <w:top w:color="000000" w:space="0" w:sz="4" w:val="single"/>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3.2.1: Desarrollar 105 actividades de extensión dirigidas a los distintos sectores de la sociedad.</w:t>
            </w:r>
          </w:p>
        </w:tc>
        <w:tc>
          <w:tcPr>
            <w:tcBorders>
              <w:top w:color="000000" w:space="0" w:sz="4" w:val="single"/>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4" w:val="single"/>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3.2.1.1 Cantidad de actividades de extensión dirigidas a los distintos sectores de la sociedad.</w:t>
            </w:r>
          </w:p>
        </w:tc>
        <w:tc>
          <w:tcPr>
            <w:tcBorders>
              <w:top w:color="000000" w:space="0" w:sz="4" w:val="single"/>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2.1.1</w:t>
              <w:br w:type="textWrapping"/>
              <w:t xml:space="preserve">2.1.2</w:t>
              <w:br w:type="textWrapping"/>
              <w:t xml:space="preserve">2.1.4</w:t>
              <w:br w:type="textWrapping"/>
              <w:t xml:space="preserve">2.1.5</w:t>
              <w:br w:type="textWrapping"/>
              <w:t xml:space="preserve">2.1.6</w:t>
              <w:br w:type="textWrapping"/>
              <w:t xml:space="preserve">2.1.7</w:t>
            </w:r>
          </w:p>
        </w:tc>
      </w:tr>
      <w:tr>
        <w:trPr>
          <w:trHeight w:val="96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3.6 Mejorar los mecanismos de difusión y proyección nacional e internacional del quehacer académico institucional.  (Acción Estratégica)</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3.2.2: Contar con un plan de divulgación articulado de las actividades docentes, de investigación y extensión de la Institución.</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3.2.2.1 Plan de divulgación articulado. (37)</w:t>
            </w:r>
          </w:p>
        </w:tc>
        <w:tc>
          <w:tcPr>
            <w:tcBorders>
              <w:top w:color="000000" w:space="0" w:sz="0" w:val="nil"/>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1.4.1</w:t>
              <w:br w:type="textWrapping"/>
              <w:t xml:space="preserve">1.4.2</w:t>
              <w:br w:type="textWrapping"/>
              <w:t xml:space="preserve">1.4.3</w:t>
              <w:br w:type="textWrapping"/>
              <w:t xml:space="preserve">1.4.4</w:t>
              <w:br w:type="textWrapping"/>
              <w:t xml:space="preserve">2.3.5</w:t>
              <w:br w:type="textWrapping"/>
              <w:t xml:space="preserve">2.3.6</w:t>
            </w:r>
          </w:p>
        </w:tc>
      </w:tr>
      <w:tr>
        <w:trPr>
          <w:trHeight w:val="240" w:hRule="atLeast"/>
        </w:trPr>
        <w:tc>
          <w:tcPr>
            <w:vMerge w:val="restart"/>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sz w:val="14"/>
                <w:szCs w:val="14"/>
                <w:rtl w:val="0"/>
              </w:rPr>
              <w:t xml:space="preserve">FINANZAS</w:t>
            </w:r>
          </w:p>
        </w:tc>
        <w:tc>
          <w:tcPr>
            <w:vMerge w:val="restart"/>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11. Incrementar  el acceso a  los  recursos financieros provenientes del Fondo del Sistema.</w:t>
            </w:r>
          </w:p>
        </w:tc>
        <w:tc>
          <w:tcPr>
            <w:vMerge w:val="restart"/>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 Desarrollar iniciativas de vinculación con las universidades y la sociedad utilizando el Fondo del Sistema. (Objetivo Operativo)</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11.2.1:   Desarrollar 6  iniciativas de vinculación  con las universidades y la sociedad utilizando el Fondo del Sistema.</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963634"/>
                <w:sz w:val="14"/>
                <w:szCs w:val="14"/>
                <w:rtl w:val="0"/>
              </w:rPr>
              <w:t xml:space="preserve">OPERATIVA</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11.2.1.1 Cantidad de iniciativas con Fondos del Sistema por desarrollar. (6)</w:t>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1.2.3</w:t>
            </w:r>
          </w:p>
        </w:tc>
      </w:tr>
      <w:tr>
        <w:trPr>
          <w:trHeight w:val="800" w:hRule="atLeast"/>
        </w:trPr>
        <w:tc>
          <w:tcPr>
            <w:vMerge w:val="continue"/>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2.2.1</w:t>
            </w:r>
          </w:p>
        </w:tc>
      </w:tr>
    </w:tbl>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Fuente: Oficina de Planificación Institucional. PAO 2014</w:t>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Según el oficio RH-1013-2014,  recibido el 29 de julio de 2014,  en ese momento se indica que  utilizar la plaza que se especifica FS0030, para el II semestre del año en curso, no se presentaría ningún impacto presupuestario, dado que esta fue presupuestada en la categoría salarial 23 y con la clase de puesto de Profesor (a). Es importante reiterar que a pesar de que no existe impacto a nivel presupuestario, es conveniente advertir que esta plaza fue creada para un fin específico, el cual consiste en atender los requerimientos del Programa de Becas, en cuanto a la asignación de </w:t>
      </w:r>
      <w:r w:rsidDel="00000000" w:rsidR="00000000" w:rsidRPr="00000000">
        <w:rPr>
          <w:rFonts w:ascii="Arial" w:cs="Arial" w:eastAsia="Arial" w:hAnsi="Arial"/>
          <w:sz w:val="32"/>
          <w:szCs w:val="32"/>
          <w:rtl w:val="0"/>
        </w:rPr>
        <w:t xml:space="preserve">¼ </w:t>
      </w:r>
      <w:r w:rsidDel="00000000" w:rsidR="00000000" w:rsidRPr="00000000">
        <w:rPr>
          <w:rFonts w:ascii="Arial" w:cs="Arial" w:eastAsia="Arial" w:hAnsi="Arial"/>
          <w:rtl w:val="0"/>
        </w:rPr>
        <w:t xml:space="preserve">de tiempo para realizar estudios de posgrado.</w:t>
      </w:r>
    </w:p>
    <w:p w:rsidR="00000000" w:rsidDel="00000000" w:rsidP="00000000" w:rsidRDefault="00000000" w:rsidRPr="00000000">
      <w:pPr>
        <w:tabs>
          <w:tab w:val="left" w:pos="2127"/>
          <w:tab w:val="left" w:pos="8640"/>
        </w:tabs>
        <w:ind w:right="-136"/>
        <w:contextualSpacing w:val="0"/>
        <w:jc w:val="both"/>
      </w:pPr>
      <w:r w:rsidDel="00000000" w:rsidR="00000000" w:rsidRPr="00000000">
        <w:rPr>
          <w:rFonts w:ascii="Arial" w:cs="Arial" w:eastAsia="Arial" w:hAnsi="Arial"/>
          <w:rtl w:val="0"/>
        </w:rPr>
        <w:t xml:space="preserve">Dado lo anterior, se emite criterio favorable sobre:</w:t>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La modificación a la utilización de la plaza financiada con el Fondo del Sistema FS030,  ya que no modifica la planificación estratégica ni la planificación operativa, según el periodo mencionado.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TFM/eqa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Cc: </w:t>
        <w:tab/>
      </w:r>
      <w:r w:rsidDel="00000000" w:rsidR="00000000" w:rsidRPr="00000000">
        <w:rPr>
          <w:rFonts w:ascii="Arial" w:cs="Arial" w:eastAsia="Arial" w:hAnsi="Arial"/>
          <w:sz w:val="16"/>
          <w:szCs w:val="16"/>
          <w:rtl w:val="0"/>
        </w:rPr>
        <w:t xml:space="preserve">Ing. Luis Paulino Méndez Badilla. Vicerrector de Docencia</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M.B.A Harold Blanco Leitón, Director Ejecutivo. Departamento de Recursos Humanos</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Licda. Bertalía Sánchez, Secretaría del Consejo Institucional</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Archivo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Arimo" w:cs="Arimo" w:eastAsia="Arimo" w:hAnsi="Arimo"/>
          <w:color w:val="808080"/>
          <w:rtl w:val="0"/>
        </w:rPr>
        <w:t xml:space="preserve">PB-937-2014</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Arimo" w:cs="Arimo" w:eastAsia="Arimo" w:hAnsi="Arimo"/>
          <w:color w:val="808080"/>
          <w:sz w:val="48"/>
          <w:szCs w:val="48"/>
          <w:rtl w:val="0"/>
        </w:rPr>
        <w:t xml:space="preserve">Memorando</w:t>
      </w:r>
      <w:r w:rsidDel="00000000" w:rsidR="00000000" w:rsidRPr="00000000">
        <w:rPr>
          <w:rFonts w:ascii="Arial" w:cs="Arial" w:eastAsia="Arial" w:hAnsi="Arial"/>
          <w:b w:val="1"/>
          <w:color w:val="808080"/>
          <w:sz w:val="48"/>
          <w:szCs w:val="48"/>
          <w:rtl w:val="0"/>
        </w:rPr>
        <w:t xml:space="preserve"> </w:t>
      </w: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Para:</w:t>
        <w:tab/>
        <w:tab/>
        <w:t xml:space="preserve">MBA. Tatiana Fernández Martí, Directora</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Oficina de Planificación</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De:</w:t>
        <w:tab/>
        <w:tab/>
        <w:t xml:space="preserve">Bach.  Sonia Guzmán Arrieta, Secretaria Ejecutiva a.i.  </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Comité de Becas</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Departamento de Recursos Humanos</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Fecha:</w:t>
        <w:tab/>
        <w:t xml:space="preserve">09 de setiembre de 2014</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8505"/>
        </w:tabs>
        <w:ind w:right="284"/>
        <w:contextualSpacing w:val="0"/>
        <w:jc w:val="both"/>
      </w:pPr>
      <w:r w:rsidDel="00000000" w:rsidR="00000000" w:rsidRPr="00000000">
        <w:rPr>
          <w:rFonts w:ascii="Tahoma" w:cs="Tahoma" w:eastAsia="Tahoma" w:hAnsi="Tahoma"/>
          <w:b w:val="1"/>
          <w:sz w:val="22"/>
          <w:szCs w:val="22"/>
          <w:rtl w:val="0"/>
        </w:rPr>
        <w:t xml:space="preserve">Asunto:         Su atención</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pPr>
      <w:r w:rsidDel="00000000" w:rsidR="00000000" w:rsidRPr="00000000">
        <w:rPr>
          <w:rtl w:val="0"/>
        </w:rPr>
      </w:r>
    </w:p>
    <w:p w:rsidR="00000000" w:rsidDel="00000000" w:rsidP="00000000" w:rsidRDefault="00000000" w:rsidRPr="00000000">
      <w:pPr>
        <w:ind w:right="59"/>
        <w:contextualSpacing w:val="0"/>
        <w:jc w:val="both"/>
      </w:pPr>
      <w:r w:rsidDel="00000000" w:rsidR="00000000" w:rsidRPr="00000000">
        <w:rPr>
          <w:rFonts w:ascii="Tahoma" w:cs="Tahoma" w:eastAsia="Tahoma" w:hAnsi="Tahoma"/>
          <w:sz w:val="22"/>
          <w:szCs w:val="22"/>
          <w:rtl w:val="0"/>
        </w:rPr>
        <w:t xml:space="preserve">Por este medio se informa que el Comité de Becas aprobó el día 5 de setiembre de 2014, el uso </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Ceder las plazas remanentes correspondientes al Programa de Becas de Postgrado para satisfacer la demanda del curso, plazas según detalle adjunto:</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FS0031</w:t>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FS0032</w:t>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FS0033</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Fonts w:ascii="Arial" w:cs="Arial" w:eastAsia="Arial" w:hAnsi="Arial"/>
          <w:sz w:val="22"/>
          <w:szCs w:val="22"/>
          <w:rtl w:val="0"/>
        </w:rPr>
        <w:t xml:space="preserve">Agradezco de antemano su atención.</w:t>
      </w:r>
    </w:p>
    <w:p w:rsidR="00000000" w:rsidDel="00000000" w:rsidP="00000000" w:rsidRDefault="00000000" w:rsidRPr="00000000">
      <w:pPr>
        <w:tabs>
          <w:tab w:val="left" w:pos="9540"/>
        </w:tabs>
        <w:ind w:right="-23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Fonts w:ascii="Arial" w:cs="Arial" w:eastAsia="Arial" w:hAnsi="Arial"/>
          <w:sz w:val="22"/>
          <w:szCs w:val="22"/>
          <w:rtl w:val="0"/>
        </w:rPr>
        <w:t xml:space="preserve">Cordialmente.</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284"/>
        </w:tabs>
        <w:spacing w:line="480" w:lineRule="auto"/>
        <w:ind w:right="284"/>
        <w:contextualSpacing w:val="0"/>
        <w:jc w:val="both"/>
      </w:pPr>
      <w:r w:rsidDel="00000000" w:rsidR="00000000" w:rsidRPr="00000000">
        <w:rPr>
          <w:rFonts w:ascii="Tahoma" w:cs="Tahoma" w:eastAsia="Tahoma" w:hAnsi="Tahoma"/>
          <w:sz w:val="16"/>
          <w:szCs w:val="16"/>
          <w:rtl w:val="0"/>
        </w:rPr>
        <w:t xml:space="preserve">C: </w:t>
        <w:tab/>
        <w:tab/>
        <w:t xml:space="preserve">Licda. Bertalía Sánchez Salas, Directora Ejecutiva Consejo Institucional</w:t>
      </w:r>
    </w:p>
    <w:p w:rsidR="00000000" w:rsidDel="00000000" w:rsidP="00000000" w:rsidRDefault="00000000" w:rsidRPr="00000000">
      <w:pPr>
        <w:tabs>
          <w:tab w:val="left" w:pos="284"/>
        </w:tabs>
        <w:spacing w:line="480" w:lineRule="auto"/>
        <w:ind w:right="284"/>
        <w:contextualSpacing w:val="0"/>
        <w:jc w:val="both"/>
      </w:pPr>
      <w:r w:rsidDel="00000000" w:rsidR="00000000" w:rsidRPr="00000000">
        <w:rPr>
          <w:rFonts w:ascii="Tahoma" w:cs="Tahoma" w:eastAsia="Tahoma" w:hAnsi="Tahoma"/>
          <w:sz w:val="16"/>
          <w:szCs w:val="16"/>
          <w:rtl w:val="0"/>
        </w:rPr>
        <w:t xml:space="preserve">               Miembros del Consejo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 w:type="default"/>
      <w:footerReference r:id="rId6"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AC4ERDO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2886, Artículo  13 del 24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1"/>
        <w:i w:val="0"/>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LibreBaskervill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