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SCI-169-2014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bookmarkStart w:colFirst="0" w:colLast="0" w:name="_30j0zll" w:id="1"/>
            <w:bookmarkEnd w:id="1"/>
            <w:r w:rsidDel="00000000" w:rsidR="00000000" w:rsidRPr="00000000">
              <w:rPr>
                <w:rFonts w:ascii="Arial" w:cs="Arial" w:eastAsia="Arial" w:hAnsi="Arial"/>
                <w:sz w:val="24"/>
                <w:szCs w:val="24"/>
                <w:rtl w:val="0"/>
              </w:rPr>
              <w:t xml:space="preserve">Ing. Luis Paulino Méndez B., Rector a.i.</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Xinia Artavia Granados, Directora de DEVESA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Dra. Claudia Madrizova M., Vicerrectoría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de Vida Estudiantil y Servicios Académicos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Tomás Guzmán Hernández, Representante del Centro Académico y Sede Regional San Carlos ante el  Consejo Institucional</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19 de marzo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2861, Artículo 8, del 19 de marzo de 2014.  Designación de un Representante del Consejo Institucional en el Acto de Graduación No.  229, que se realizará en la Sede Regional San Carlos, el 24 de abril de 2014, en el CETEC</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Secretaría del Consejo Institucional recibió el oficio DEVESA-114-2014, con fecha de recibido 14 de marzo de 2014, suscrito por la Licda.  Xinia Artavia Granados, Directora del DEVESA, Sede Regional San Carlos, dirigido al Dr.  Julio César Calvo Alvarado, Presidente del Consejo Institucional, en el cual solicita el nombramiento de un representante del Consejo Institucional para que participe en el Acto de Graduación No.  229, que se realizará en la Sede Regional el próximo 24 de abril del 2014, a las 3:00 p. m., en el Centro de Transferencias Tecnológicas (CTEC) San Carlos.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right="-91" w:hanging="360"/>
        <w:jc w:val="both"/>
        <w:rPr>
          <w:rFonts w:ascii="Arial" w:cs="Arial" w:eastAsia="Arial" w:hAnsi="Arial"/>
        </w:rPr>
      </w:pPr>
      <w:r w:rsidDel="00000000" w:rsidR="00000000" w:rsidRPr="00000000">
        <w:rPr>
          <w:rFonts w:ascii="Arial" w:cs="Arial" w:eastAsia="Arial" w:hAnsi="Arial"/>
          <w:sz w:val="24"/>
          <w:szCs w:val="24"/>
          <w:rtl w:val="0"/>
        </w:rPr>
        <w:t xml:space="preserve">Designar al Dr. Tomás Guzmán Hernández, como representante del Consejo Institucional, para que participe en el Acto de Graduación No.  229, que se realizará en la Sede Regional de San Carlos, el 24 de abril del 2014, a las 3:00 p. m., en el Centro de Transferencias Tecnológicas (CTEC) San Carlos.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2861, Artículo 8  del 19 de marzo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