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95143">
        <w:rPr>
          <w:rFonts w:ascii="Arial" w:hAnsi="Arial" w:cs="Arial"/>
          <w:b/>
          <w:bCs/>
          <w:iCs/>
          <w:sz w:val="26"/>
          <w:szCs w:val="22"/>
          <w:lang w:val="es-CR"/>
        </w:rPr>
        <w:t>786</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6B1B55" w:rsidRDefault="00476CE1" w:rsidP="00CA6F4F">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Ing. Luis Paulino Méndez Badilla</w:t>
            </w:r>
            <w:r w:rsidR="0090700F" w:rsidRPr="00771F15">
              <w:rPr>
                <w:rFonts w:ascii="Arial" w:eastAsia="Cambria" w:hAnsi="Arial" w:cs="Arial"/>
                <w:sz w:val="22"/>
                <w:szCs w:val="22"/>
                <w:lang w:val="es-ES_tradnl" w:eastAsia="en-US"/>
              </w:rPr>
              <w:t>, Rector</w:t>
            </w:r>
            <w:r w:rsidR="00CC7CB5" w:rsidRPr="00771F15">
              <w:rPr>
                <w:rFonts w:ascii="Arial" w:eastAsia="Cambria" w:hAnsi="Arial" w:cs="Arial"/>
                <w:sz w:val="22"/>
                <w:szCs w:val="22"/>
                <w:lang w:val="es-ES_tradnl" w:eastAsia="en-US"/>
              </w:rPr>
              <w:t xml:space="preserve"> </w:t>
            </w:r>
          </w:p>
          <w:p w:rsidR="00795143" w:rsidRPr="00795143" w:rsidRDefault="00795143" w:rsidP="00795143">
            <w:pPr>
              <w:autoSpaceDE w:val="0"/>
              <w:autoSpaceDN w:val="0"/>
              <w:adjustRightInd w:val="0"/>
              <w:ind w:right="-91"/>
              <w:jc w:val="both"/>
              <w:rPr>
                <w:rFonts w:ascii="Arial" w:eastAsia="Cambria" w:hAnsi="Arial" w:cs="Arial"/>
                <w:sz w:val="22"/>
                <w:szCs w:val="22"/>
                <w:lang w:eastAsia="en-US"/>
              </w:rPr>
            </w:pPr>
            <w:r w:rsidRPr="00795143">
              <w:rPr>
                <w:rFonts w:ascii="Arial" w:eastAsia="Cambria" w:hAnsi="Arial" w:cs="Arial"/>
                <w:sz w:val="22"/>
                <w:szCs w:val="22"/>
                <w:lang w:eastAsia="en-US"/>
              </w:rPr>
              <w:t xml:space="preserve">Señores </w:t>
            </w:r>
            <w:r w:rsidRPr="00795143">
              <w:rPr>
                <w:rFonts w:ascii="Arial" w:eastAsia="Cambria" w:hAnsi="Arial" w:cs="Arial"/>
                <w:sz w:val="22"/>
                <w:szCs w:val="22"/>
                <w:lang w:eastAsia="en-US"/>
              </w:rPr>
              <w:t>Comisión Permanente de la Mujer</w:t>
            </w:r>
          </w:p>
          <w:p w:rsidR="00795143" w:rsidRPr="00795143" w:rsidRDefault="00795143" w:rsidP="00795143">
            <w:pPr>
              <w:autoSpaceDE w:val="0"/>
              <w:autoSpaceDN w:val="0"/>
              <w:adjustRightInd w:val="0"/>
              <w:ind w:right="-91"/>
              <w:jc w:val="both"/>
              <w:rPr>
                <w:rFonts w:ascii="Arial" w:eastAsia="Cambria" w:hAnsi="Arial" w:cs="Arial"/>
                <w:sz w:val="22"/>
                <w:szCs w:val="22"/>
                <w:lang w:eastAsia="en-US"/>
              </w:rPr>
            </w:pPr>
            <w:r w:rsidRPr="00795143">
              <w:rPr>
                <w:rFonts w:ascii="Arial" w:eastAsia="Cambria" w:hAnsi="Arial" w:cs="Arial"/>
                <w:sz w:val="22"/>
                <w:szCs w:val="22"/>
                <w:lang w:eastAsia="en-US"/>
              </w:rPr>
              <w:t xml:space="preserve">Señores </w:t>
            </w:r>
            <w:r w:rsidRPr="00795143">
              <w:rPr>
                <w:rFonts w:ascii="Arial" w:eastAsia="Cambria" w:hAnsi="Arial" w:cs="Arial"/>
                <w:sz w:val="22"/>
                <w:szCs w:val="22"/>
                <w:lang w:eastAsia="en-US"/>
              </w:rPr>
              <w:t xml:space="preserve">Comisión Permanente de Asuntos Sociales </w:t>
            </w:r>
          </w:p>
          <w:p w:rsidR="00795143" w:rsidRPr="00256C13" w:rsidRDefault="00795143" w:rsidP="00795143">
            <w:pPr>
              <w:jc w:val="both"/>
              <w:rPr>
                <w:rFonts w:ascii="Arial" w:eastAsia="Cambria" w:hAnsi="Arial" w:cs="Arial"/>
                <w:sz w:val="22"/>
                <w:szCs w:val="22"/>
                <w:lang w:val="es-ES_tradnl" w:eastAsia="en-US"/>
              </w:rPr>
            </w:pPr>
            <w:bookmarkStart w:id="0" w:name="_GoBack"/>
            <w:bookmarkEnd w:id="0"/>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B536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8E6D9D">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A787F">
              <w:rPr>
                <w:rFonts w:ascii="Arial" w:eastAsia="Cambria" w:hAnsi="Arial" w:cs="Arial"/>
                <w:b/>
                <w:sz w:val="22"/>
                <w:szCs w:val="22"/>
                <w:lang w:val="es-ES_tradnl" w:eastAsia="en-US"/>
              </w:rPr>
              <w:t>agosto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624C4E">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0A787F">
              <w:rPr>
                <w:rFonts w:ascii="Arial" w:eastAsia="Calibri" w:hAnsi="Arial" w:cs="Arial"/>
                <w:b/>
                <w:sz w:val="22"/>
                <w:szCs w:val="22"/>
              </w:rPr>
              <w:t>3</w:t>
            </w:r>
            <w:r w:rsidR="008E6D9D">
              <w:rPr>
                <w:rFonts w:ascii="Arial" w:eastAsia="Calibri" w:hAnsi="Arial" w:cs="Arial"/>
                <w:b/>
                <w:sz w:val="22"/>
                <w:szCs w:val="22"/>
              </w:rPr>
              <w:t>3</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8E6D9D">
              <w:rPr>
                <w:rFonts w:ascii="Arial" w:eastAsia="Calibri" w:hAnsi="Arial" w:cs="Arial"/>
                <w:b/>
                <w:sz w:val="22"/>
                <w:szCs w:val="22"/>
              </w:rPr>
              <w:t>13</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4B5364">
              <w:rPr>
                <w:rFonts w:ascii="Arial" w:eastAsia="Calibri" w:hAnsi="Arial" w:cs="Arial"/>
                <w:b/>
                <w:sz w:val="22"/>
                <w:szCs w:val="22"/>
              </w:rPr>
              <w:t>2</w:t>
            </w:r>
            <w:r w:rsidR="008E6D9D">
              <w:rPr>
                <w:rFonts w:ascii="Arial" w:eastAsia="Calibri" w:hAnsi="Arial" w:cs="Arial"/>
                <w:b/>
                <w:sz w:val="22"/>
                <w:szCs w:val="22"/>
              </w:rPr>
              <w:t>8</w:t>
            </w:r>
            <w:r w:rsidR="005A7222">
              <w:rPr>
                <w:rFonts w:ascii="Arial" w:eastAsia="Calibri" w:hAnsi="Arial" w:cs="Arial"/>
                <w:b/>
                <w:sz w:val="22"/>
                <w:szCs w:val="22"/>
              </w:rPr>
              <w:t xml:space="preserve"> de</w:t>
            </w:r>
            <w:r w:rsidR="000A787F">
              <w:rPr>
                <w:rFonts w:ascii="Arial" w:eastAsia="Calibri" w:hAnsi="Arial" w:cs="Arial"/>
                <w:b/>
                <w:sz w:val="22"/>
                <w:szCs w:val="22"/>
              </w:rPr>
              <w:t xml:space="preserve"> agosto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8E6D9D" w:rsidRPr="008E6D9D">
              <w:rPr>
                <w:rFonts w:ascii="Arial" w:eastAsia="Cambria" w:hAnsi="Arial" w:cs="Arial"/>
                <w:b/>
                <w:bCs/>
                <w:sz w:val="22"/>
                <w:szCs w:val="22"/>
                <w:lang w:val="es-CR" w:eastAsia="en-US"/>
              </w:rPr>
              <w:t>Pronunciamiento del Consejo Institucional de Proyectos de Ley Nos. 21.149</w:t>
            </w:r>
            <w:r w:rsidR="00624C4E">
              <w:rPr>
                <w:rFonts w:ascii="Arial" w:eastAsia="Cambria" w:hAnsi="Arial" w:cs="Arial"/>
                <w:b/>
                <w:bCs/>
                <w:sz w:val="22"/>
                <w:szCs w:val="22"/>
                <w:lang w:val="es-CR" w:eastAsia="en-US"/>
              </w:rPr>
              <w:t xml:space="preserve"> </w:t>
            </w:r>
            <w:r w:rsidR="008E6D9D" w:rsidRPr="008E6D9D">
              <w:rPr>
                <w:rFonts w:ascii="Arial" w:eastAsia="Cambria" w:hAnsi="Arial" w:cs="Arial"/>
                <w:b/>
                <w:bCs/>
                <w:sz w:val="22"/>
                <w:szCs w:val="22"/>
                <w:lang w:val="es-CR" w:eastAsia="en-US"/>
              </w:rPr>
              <w:t>y 21.329</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95143" w:rsidRDefault="00795143" w:rsidP="007742A1">
      <w:pPr>
        <w:jc w:val="both"/>
        <w:rPr>
          <w:rFonts w:ascii="Arial" w:eastAsia="Cambria" w:hAnsi="Arial" w:cs="Arial"/>
          <w:lang w:val="es-ES_tradnl" w:eastAsia="en-US"/>
        </w:rPr>
      </w:pPr>
    </w:p>
    <w:p w:rsidR="00795143" w:rsidRPr="00795143" w:rsidRDefault="00795143" w:rsidP="00795143">
      <w:pPr>
        <w:spacing w:after="200"/>
        <w:rPr>
          <w:rFonts w:ascii="Arial" w:hAnsi="Arial" w:cs="Arial"/>
          <w:b/>
          <w:bCs/>
          <w:i/>
          <w:iCs/>
          <w:kern w:val="32"/>
          <w:sz w:val="22"/>
          <w:szCs w:val="22"/>
        </w:rPr>
      </w:pPr>
      <w:r w:rsidRPr="00795143">
        <w:rPr>
          <w:rFonts w:ascii="Arial" w:hAnsi="Arial" w:cs="Arial"/>
          <w:b/>
          <w:bCs/>
          <w:kern w:val="32"/>
          <w:sz w:val="22"/>
          <w:szCs w:val="22"/>
        </w:rPr>
        <w:t>RESULTANDO QUE:</w:t>
      </w:r>
    </w:p>
    <w:p w:rsidR="00795143" w:rsidRPr="00795143" w:rsidRDefault="00795143" w:rsidP="00795143">
      <w:pPr>
        <w:numPr>
          <w:ilvl w:val="0"/>
          <w:numId w:val="8"/>
        </w:numPr>
        <w:ind w:left="360"/>
        <w:jc w:val="both"/>
        <w:rPr>
          <w:rFonts w:ascii="Arial" w:hAnsi="Arial" w:cs="Arial"/>
          <w:sz w:val="22"/>
          <w:szCs w:val="22"/>
          <w:lang w:val="es-CR"/>
        </w:rPr>
      </w:pPr>
      <w:r w:rsidRPr="00795143">
        <w:rPr>
          <w:rFonts w:ascii="Arial" w:hAnsi="Arial" w:cs="Arial"/>
          <w:sz w:val="22"/>
          <w:szCs w:val="22"/>
          <w:lang w:val="es-CR"/>
        </w:rPr>
        <w:t>El Artículo 88 de la Constitución Política de la República de Costa Rica indica:</w:t>
      </w:r>
    </w:p>
    <w:p w:rsidR="00795143" w:rsidRPr="00795143" w:rsidRDefault="00795143" w:rsidP="00795143">
      <w:pPr>
        <w:ind w:left="360"/>
        <w:jc w:val="both"/>
        <w:rPr>
          <w:rFonts w:ascii="Arial" w:hAnsi="Arial" w:cs="Arial"/>
          <w:sz w:val="22"/>
          <w:szCs w:val="22"/>
          <w:lang w:val="es-CR"/>
        </w:rPr>
      </w:pPr>
    </w:p>
    <w:p w:rsidR="00795143" w:rsidRPr="00795143" w:rsidRDefault="00795143" w:rsidP="00795143">
      <w:pPr>
        <w:ind w:left="1080" w:right="689"/>
        <w:jc w:val="both"/>
        <w:rPr>
          <w:rFonts w:ascii="Arial" w:hAnsi="Arial" w:cs="Arial"/>
          <w:i/>
          <w:sz w:val="20"/>
          <w:szCs w:val="20"/>
          <w:lang w:val="es-CR"/>
        </w:rPr>
      </w:pPr>
      <w:r w:rsidRPr="00795143">
        <w:rPr>
          <w:rFonts w:ascii="Arial" w:hAnsi="Arial" w:cs="Arial"/>
          <w:i/>
          <w:sz w:val="20"/>
          <w:szCs w:val="20"/>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795143" w:rsidRPr="00795143" w:rsidRDefault="00795143" w:rsidP="00795143">
      <w:pPr>
        <w:ind w:left="1080" w:right="689"/>
        <w:jc w:val="both"/>
        <w:rPr>
          <w:rFonts w:ascii="Arial" w:hAnsi="Arial" w:cs="Arial"/>
          <w:i/>
          <w:sz w:val="22"/>
          <w:szCs w:val="22"/>
          <w:lang w:val="es-CR"/>
        </w:rPr>
      </w:pPr>
    </w:p>
    <w:p w:rsidR="00795143" w:rsidRPr="00795143" w:rsidRDefault="00795143" w:rsidP="00795143">
      <w:pPr>
        <w:numPr>
          <w:ilvl w:val="0"/>
          <w:numId w:val="8"/>
        </w:numPr>
        <w:ind w:left="360"/>
        <w:jc w:val="both"/>
        <w:rPr>
          <w:rFonts w:ascii="Arial" w:hAnsi="Arial" w:cs="Arial"/>
          <w:sz w:val="22"/>
          <w:szCs w:val="22"/>
          <w:lang w:val="es-CR"/>
        </w:rPr>
      </w:pPr>
      <w:r w:rsidRPr="00795143">
        <w:rPr>
          <w:rFonts w:ascii="Arial" w:hAnsi="Arial" w:cs="Arial"/>
          <w:sz w:val="22"/>
          <w:szCs w:val="22"/>
          <w:lang w:val="es-CR"/>
        </w:rPr>
        <w:t>El Estatuto Orgánico del Instituto Tecnológico de Costa Rica, en el Artículo 18, inciso i) señala:</w:t>
      </w:r>
    </w:p>
    <w:p w:rsidR="00795143" w:rsidRPr="00795143" w:rsidRDefault="00795143" w:rsidP="00795143">
      <w:pPr>
        <w:ind w:left="1080" w:right="689"/>
        <w:jc w:val="both"/>
        <w:rPr>
          <w:rFonts w:ascii="Arial" w:hAnsi="Arial" w:cs="Arial"/>
          <w:i/>
          <w:sz w:val="22"/>
          <w:szCs w:val="22"/>
          <w:lang w:val="es-CR"/>
        </w:rPr>
      </w:pPr>
    </w:p>
    <w:p w:rsidR="00795143" w:rsidRPr="00795143" w:rsidRDefault="00795143" w:rsidP="00795143">
      <w:pPr>
        <w:ind w:left="1080" w:right="689"/>
        <w:jc w:val="both"/>
        <w:rPr>
          <w:rFonts w:ascii="Arial" w:hAnsi="Arial" w:cs="Arial"/>
          <w:i/>
          <w:sz w:val="20"/>
          <w:szCs w:val="20"/>
          <w:lang w:val="es-CR"/>
        </w:rPr>
      </w:pPr>
      <w:r w:rsidRPr="00795143">
        <w:rPr>
          <w:rFonts w:ascii="Arial" w:hAnsi="Arial" w:cs="Arial"/>
          <w:i/>
          <w:sz w:val="20"/>
          <w:szCs w:val="20"/>
          <w:lang w:val="es-CR"/>
        </w:rPr>
        <w:t>“Son funciones del Consejo Institucional:</w:t>
      </w:r>
    </w:p>
    <w:p w:rsidR="00795143" w:rsidRPr="00795143" w:rsidRDefault="00795143" w:rsidP="00795143">
      <w:pPr>
        <w:ind w:left="1080" w:right="689"/>
        <w:jc w:val="both"/>
        <w:rPr>
          <w:rFonts w:ascii="Arial" w:hAnsi="Arial" w:cs="Arial"/>
          <w:i/>
          <w:sz w:val="20"/>
          <w:szCs w:val="20"/>
          <w:lang w:val="es-CR"/>
        </w:rPr>
      </w:pPr>
      <w:r w:rsidRPr="00795143">
        <w:rPr>
          <w:rFonts w:ascii="Arial" w:hAnsi="Arial" w:cs="Arial"/>
          <w:i/>
          <w:sz w:val="20"/>
          <w:szCs w:val="20"/>
          <w:lang w:val="es-CR"/>
        </w:rPr>
        <w:t>…</w:t>
      </w:r>
    </w:p>
    <w:p w:rsidR="00795143" w:rsidRPr="00795143" w:rsidRDefault="00795143" w:rsidP="00795143">
      <w:pPr>
        <w:ind w:left="1080" w:right="689"/>
        <w:jc w:val="both"/>
        <w:rPr>
          <w:rFonts w:ascii="Arial" w:hAnsi="Arial" w:cs="Arial"/>
          <w:i/>
          <w:sz w:val="20"/>
          <w:szCs w:val="20"/>
          <w:lang w:val="es-CR"/>
        </w:rPr>
      </w:pPr>
      <w:r w:rsidRPr="00795143">
        <w:rPr>
          <w:rFonts w:ascii="Arial" w:hAnsi="Arial" w:cs="Arial"/>
          <w:i/>
          <w:sz w:val="20"/>
          <w:szCs w:val="20"/>
          <w:lang w:val="es-CR"/>
        </w:rPr>
        <w:t>Evacuar las consultas a que se refiere el Artículo 88 de la Constitución Política de la República”.</w:t>
      </w:r>
    </w:p>
    <w:p w:rsidR="00795143" w:rsidRDefault="00795143" w:rsidP="00795143">
      <w:pPr>
        <w:keepNext/>
        <w:jc w:val="both"/>
        <w:outlineLvl w:val="0"/>
        <w:rPr>
          <w:rFonts w:ascii="Arial" w:hAnsi="Arial" w:cs="Arial"/>
          <w:b/>
          <w:bCs/>
          <w:kern w:val="32"/>
          <w:sz w:val="22"/>
          <w:szCs w:val="22"/>
        </w:rPr>
      </w:pPr>
    </w:p>
    <w:p w:rsidR="00795143" w:rsidRPr="00795143" w:rsidRDefault="00795143" w:rsidP="00795143">
      <w:pPr>
        <w:keepNext/>
        <w:jc w:val="both"/>
        <w:outlineLvl w:val="0"/>
        <w:rPr>
          <w:rFonts w:ascii="Arial" w:hAnsi="Arial" w:cs="Arial"/>
          <w:b/>
          <w:bCs/>
          <w:kern w:val="32"/>
          <w:sz w:val="22"/>
          <w:szCs w:val="22"/>
        </w:rPr>
      </w:pPr>
      <w:r w:rsidRPr="00795143">
        <w:rPr>
          <w:rFonts w:ascii="Arial" w:hAnsi="Arial" w:cs="Arial"/>
          <w:b/>
          <w:bCs/>
          <w:kern w:val="32"/>
          <w:sz w:val="22"/>
          <w:szCs w:val="22"/>
        </w:rPr>
        <w:t>CONSIDERANDO QUE:</w:t>
      </w:r>
    </w:p>
    <w:p w:rsidR="00795143" w:rsidRPr="00795143" w:rsidRDefault="00795143" w:rsidP="00795143">
      <w:pPr>
        <w:jc w:val="both"/>
        <w:rPr>
          <w:sz w:val="20"/>
          <w:szCs w:val="20"/>
        </w:rPr>
      </w:pPr>
    </w:p>
    <w:p w:rsidR="00795143" w:rsidRPr="00795143" w:rsidRDefault="00795143" w:rsidP="00795143">
      <w:pPr>
        <w:numPr>
          <w:ilvl w:val="0"/>
          <w:numId w:val="9"/>
        </w:numPr>
        <w:ind w:left="284" w:hanging="284"/>
        <w:contextualSpacing/>
        <w:jc w:val="both"/>
        <w:rPr>
          <w:rFonts w:ascii="Arial" w:hAnsi="Arial" w:cs="Arial"/>
          <w:sz w:val="22"/>
          <w:szCs w:val="22"/>
          <w:lang w:val="es-CR"/>
        </w:rPr>
      </w:pPr>
      <w:r w:rsidRPr="00795143">
        <w:rPr>
          <w:rFonts w:ascii="Arial" w:hAnsi="Arial" w:cs="Arial"/>
          <w:sz w:val="22"/>
          <w:szCs w:val="22"/>
          <w:lang w:val="es-CR"/>
        </w:rPr>
        <w:t>La Secretaría del Consejo Institucional recibió correos electrónicos de parte de Asamblea Legislativa, dirigidos al Ing. Luis Paulino Méndez Badilla, en calidad de Rector de la Institución, en los cuales se solicita criterio sobre los siguientes expedientes de Proyectos de Ley:   No.  21.149, No. 21.277 y No. 21.329.</w:t>
      </w:r>
    </w:p>
    <w:p w:rsidR="00795143" w:rsidRPr="00795143" w:rsidRDefault="00795143" w:rsidP="00795143">
      <w:pPr>
        <w:ind w:left="284" w:hanging="284"/>
        <w:contextualSpacing/>
        <w:jc w:val="both"/>
        <w:rPr>
          <w:rFonts w:ascii="Arial" w:hAnsi="Arial" w:cs="Arial"/>
          <w:sz w:val="22"/>
          <w:szCs w:val="22"/>
          <w:lang w:val="es-CR"/>
        </w:rPr>
      </w:pPr>
    </w:p>
    <w:p w:rsidR="00795143" w:rsidRPr="00795143" w:rsidRDefault="00795143" w:rsidP="00795143">
      <w:pPr>
        <w:numPr>
          <w:ilvl w:val="0"/>
          <w:numId w:val="9"/>
        </w:numPr>
        <w:ind w:left="284" w:hanging="284"/>
        <w:jc w:val="both"/>
        <w:rPr>
          <w:rFonts w:ascii="Arial" w:hAnsi="Arial" w:cs="Arial"/>
          <w:sz w:val="22"/>
          <w:szCs w:val="22"/>
          <w:lang w:val="es-CR"/>
        </w:rPr>
      </w:pPr>
      <w:r w:rsidRPr="00795143">
        <w:rPr>
          <w:rFonts w:ascii="Arial" w:hAnsi="Arial" w:cs="Arial"/>
          <w:sz w:val="22"/>
          <w:szCs w:val="22"/>
          <w:lang w:val="es-CR"/>
        </w:rPr>
        <w:t xml:space="preserve">La recepción de los expedientes consultados, fue conocida en diferentes sesiones del Consejo Institucional, y se acordó trasladarlos a algunas dependencias del TEC, para la emisión de su criterio sobre el tema. </w:t>
      </w:r>
    </w:p>
    <w:p w:rsidR="00795143" w:rsidRPr="00795143" w:rsidRDefault="00795143" w:rsidP="00795143">
      <w:pPr>
        <w:ind w:left="284" w:hanging="284"/>
        <w:jc w:val="both"/>
        <w:rPr>
          <w:rFonts w:ascii="Arial" w:hAnsi="Arial" w:cs="Arial"/>
          <w:sz w:val="22"/>
          <w:szCs w:val="22"/>
          <w:lang w:val="es-CR"/>
        </w:rPr>
      </w:pPr>
    </w:p>
    <w:p w:rsidR="00795143" w:rsidRPr="00795143" w:rsidRDefault="00795143" w:rsidP="00795143">
      <w:pPr>
        <w:numPr>
          <w:ilvl w:val="0"/>
          <w:numId w:val="9"/>
        </w:numPr>
        <w:ind w:left="284" w:hanging="284"/>
        <w:jc w:val="both"/>
        <w:rPr>
          <w:rFonts w:ascii="Arial" w:hAnsi="Arial" w:cs="Arial"/>
          <w:sz w:val="22"/>
          <w:szCs w:val="22"/>
          <w:lang w:val="es-CR"/>
        </w:rPr>
      </w:pPr>
      <w:r w:rsidRPr="00795143">
        <w:rPr>
          <w:rFonts w:ascii="Arial" w:hAnsi="Arial" w:cs="Arial"/>
          <w:sz w:val="22"/>
          <w:szCs w:val="22"/>
          <w:lang w:val="es-CR"/>
        </w:rPr>
        <w:t xml:space="preserve">La Secretaría del Consejo Institucional recibió oficios, que contienen los criterios de algunas de las dependencias de la Institución, que fueron consultadas. </w:t>
      </w:r>
    </w:p>
    <w:p w:rsidR="00795143" w:rsidRPr="00795143" w:rsidRDefault="00795143" w:rsidP="00795143">
      <w:pPr>
        <w:ind w:left="720"/>
        <w:contextualSpacing/>
        <w:jc w:val="both"/>
        <w:rPr>
          <w:rFonts w:ascii="Arial" w:hAnsi="Arial" w:cs="Arial"/>
          <w:sz w:val="22"/>
          <w:szCs w:val="22"/>
          <w:lang w:val="es-CR"/>
        </w:rPr>
      </w:pPr>
    </w:p>
    <w:p w:rsidR="00795143" w:rsidRPr="00795143" w:rsidRDefault="00795143" w:rsidP="00795143">
      <w:pPr>
        <w:keepNext/>
        <w:keepLines/>
        <w:outlineLvl w:val="1"/>
        <w:rPr>
          <w:rFonts w:ascii="Arial" w:eastAsiaTheme="majorEastAsia" w:hAnsi="Arial" w:cs="Arial"/>
          <w:b/>
          <w:bCs/>
          <w:kern w:val="32"/>
          <w:sz w:val="22"/>
          <w:szCs w:val="22"/>
        </w:rPr>
      </w:pPr>
      <w:r w:rsidRPr="00795143">
        <w:rPr>
          <w:rFonts w:ascii="Arial" w:hAnsi="Arial" w:cs="Arial"/>
          <w:b/>
          <w:bCs/>
          <w:kern w:val="32"/>
          <w:sz w:val="22"/>
          <w:szCs w:val="22"/>
        </w:rPr>
        <w:t>SE</w:t>
      </w:r>
      <w:r>
        <w:rPr>
          <w:rFonts w:ascii="Arial" w:hAnsi="Arial" w:cs="Arial"/>
          <w:b/>
          <w:bCs/>
          <w:kern w:val="32"/>
          <w:sz w:val="22"/>
          <w:szCs w:val="22"/>
        </w:rPr>
        <w:t xml:space="preserve"> ACUERDA</w:t>
      </w:r>
      <w:r w:rsidRPr="00795143">
        <w:rPr>
          <w:rFonts w:ascii="Arial" w:hAnsi="Arial" w:cs="Arial"/>
          <w:b/>
          <w:bCs/>
          <w:kern w:val="32"/>
          <w:sz w:val="22"/>
          <w:szCs w:val="22"/>
        </w:rPr>
        <w:t>:</w:t>
      </w:r>
    </w:p>
    <w:p w:rsidR="00795143" w:rsidRPr="00795143" w:rsidRDefault="00795143" w:rsidP="00795143">
      <w:pPr>
        <w:rPr>
          <w:sz w:val="20"/>
          <w:szCs w:val="20"/>
        </w:rPr>
      </w:pPr>
    </w:p>
    <w:p w:rsidR="00795143" w:rsidRPr="00795143" w:rsidRDefault="00795143" w:rsidP="00795143">
      <w:pPr>
        <w:numPr>
          <w:ilvl w:val="0"/>
          <w:numId w:val="10"/>
        </w:numPr>
        <w:ind w:left="426" w:hanging="426"/>
        <w:jc w:val="both"/>
        <w:rPr>
          <w:rFonts w:ascii="Arial" w:eastAsia="Cambria" w:hAnsi="Arial" w:cs="Arial"/>
          <w:sz w:val="22"/>
          <w:szCs w:val="22"/>
          <w:lang w:eastAsia="en-US"/>
        </w:rPr>
      </w:pPr>
      <w:r w:rsidRPr="00795143">
        <w:rPr>
          <w:rFonts w:ascii="Arial" w:eastAsia="Cambria" w:hAnsi="Arial" w:cs="Arial"/>
          <w:sz w:val="22"/>
          <w:szCs w:val="22"/>
          <w:lang w:eastAsia="en-US"/>
        </w:rPr>
        <w:t>Comunicar a las dependencias de la Asamblea Legislativa correspondientes, las observaciones que se detallan a continuación, para cada proyecto consultado:</w:t>
      </w:r>
    </w:p>
    <w:p w:rsidR="00795143" w:rsidRPr="00795143" w:rsidRDefault="00795143" w:rsidP="00795143">
      <w:pPr>
        <w:autoSpaceDE w:val="0"/>
        <w:autoSpaceDN w:val="0"/>
        <w:adjustRightInd w:val="0"/>
        <w:ind w:right="-91"/>
        <w:jc w:val="both"/>
        <w:rPr>
          <w:rFonts w:ascii="Arial" w:eastAsia="Cambria" w:hAnsi="Arial" w:cs="Arial"/>
          <w:sz w:val="22"/>
          <w:szCs w:val="22"/>
          <w:lang w:eastAsia="en-US"/>
        </w:rPr>
      </w:pPr>
    </w:p>
    <w:p w:rsidR="00795143" w:rsidRPr="00795143" w:rsidRDefault="00795143" w:rsidP="00795143">
      <w:pPr>
        <w:autoSpaceDE w:val="0"/>
        <w:autoSpaceDN w:val="0"/>
        <w:adjustRightInd w:val="0"/>
        <w:ind w:right="-91"/>
        <w:jc w:val="both"/>
        <w:rPr>
          <w:rFonts w:ascii="Arial" w:eastAsia="Cambria" w:hAnsi="Arial" w:cs="Arial"/>
          <w:b/>
          <w:sz w:val="22"/>
          <w:szCs w:val="22"/>
          <w:u w:val="single"/>
          <w:lang w:eastAsia="en-US"/>
        </w:rPr>
      </w:pPr>
      <w:r w:rsidRPr="00795143">
        <w:rPr>
          <w:rFonts w:ascii="Arial" w:eastAsia="Cambria" w:hAnsi="Arial" w:cs="Arial"/>
          <w:b/>
          <w:sz w:val="22"/>
          <w:szCs w:val="22"/>
          <w:u w:val="single"/>
          <w:lang w:eastAsia="en-US"/>
        </w:rPr>
        <w:t>Comisión Permanente de la Mujer</w:t>
      </w:r>
    </w:p>
    <w:p w:rsidR="00795143" w:rsidRPr="00795143" w:rsidRDefault="00795143" w:rsidP="00795143">
      <w:pPr>
        <w:autoSpaceDE w:val="0"/>
        <w:autoSpaceDN w:val="0"/>
        <w:adjustRightInd w:val="0"/>
        <w:ind w:right="-91"/>
        <w:jc w:val="both"/>
        <w:rPr>
          <w:rFonts w:ascii="Arial" w:eastAsia="Cambria" w:hAnsi="Arial" w:cs="Arial"/>
          <w:sz w:val="22"/>
          <w:szCs w:val="22"/>
          <w:lang w:eastAsia="en-US"/>
        </w:rPr>
      </w:pPr>
    </w:p>
    <w:tbl>
      <w:tblPr>
        <w:tblStyle w:val="Tablaconcuadrcula15"/>
        <w:tblW w:w="9635" w:type="dxa"/>
        <w:tblLayout w:type="fixed"/>
        <w:tblLook w:val="04A0" w:firstRow="1" w:lastRow="0" w:firstColumn="1" w:lastColumn="0" w:noHBand="0" w:noVBand="1"/>
      </w:tblPr>
      <w:tblGrid>
        <w:gridCol w:w="1413"/>
        <w:gridCol w:w="2835"/>
        <w:gridCol w:w="1984"/>
        <w:gridCol w:w="3403"/>
      </w:tblGrid>
      <w:tr w:rsidR="00795143" w:rsidRPr="00795143" w:rsidTr="00B20B79">
        <w:tc>
          <w:tcPr>
            <w:tcW w:w="1413" w:type="dxa"/>
          </w:tcPr>
          <w:p w:rsidR="00795143" w:rsidRPr="00795143" w:rsidRDefault="00795143" w:rsidP="00795143">
            <w:pPr>
              <w:autoSpaceDE w:val="0"/>
              <w:autoSpaceDN w:val="0"/>
              <w:adjustRightInd w:val="0"/>
              <w:ind w:right="-91"/>
              <w:jc w:val="center"/>
              <w:rPr>
                <w:rFonts w:ascii="Arial" w:eastAsia="Cambria" w:hAnsi="Arial" w:cs="Arial"/>
                <w:b/>
                <w:sz w:val="22"/>
                <w:szCs w:val="22"/>
                <w:lang w:eastAsia="en-US"/>
              </w:rPr>
            </w:pPr>
            <w:r w:rsidRPr="00795143">
              <w:rPr>
                <w:rFonts w:ascii="Arial" w:eastAsia="Cambria" w:hAnsi="Arial" w:cs="Arial"/>
                <w:b/>
                <w:sz w:val="22"/>
                <w:szCs w:val="22"/>
                <w:lang w:eastAsia="en-US"/>
              </w:rPr>
              <w:t>No. Expediente</w:t>
            </w:r>
          </w:p>
        </w:tc>
        <w:tc>
          <w:tcPr>
            <w:tcW w:w="2835" w:type="dxa"/>
          </w:tcPr>
          <w:p w:rsidR="00795143" w:rsidRPr="00795143" w:rsidRDefault="00795143" w:rsidP="00795143">
            <w:pPr>
              <w:autoSpaceDE w:val="0"/>
              <w:autoSpaceDN w:val="0"/>
              <w:adjustRightInd w:val="0"/>
              <w:ind w:right="-91"/>
              <w:jc w:val="center"/>
              <w:rPr>
                <w:rFonts w:ascii="Arial" w:eastAsia="Cambria" w:hAnsi="Arial" w:cs="Arial"/>
                <w:b/>
                <w:sz w:val="22"/>
                <w:szCs w:val="22"/>
                <w:lang w:eastAsia="en-US"/>
              </w:rPr>
            </w:pPr>
            <w:r w:rsidRPr="00795143">
              <w:rPr>
                <w:rFonts w:ascii="Arial" w:eastAsia="Cambria" w:hAnsi="Arial" w:cs="Arial"/>
                <w:b/>
                <w:sz w:val="22"/>
                <w:szCs w:val="22"/>
                <w:lang w:eastAsia="en-US"/>
              </w:rPr>
              <w:t>Nombre del Proyecto</w:t>
            </w:r>
          </w:p>
        </w:tc>
        <w:tc>
          <w:tcPr>
            <w:tcW w:w="1984" w:type="dxa"/>
          </w:tcPr>
          <w:p w:rsidR="00795143" w:rsidRPr="00795143" w:rsidRDefault="00795143" w:rsidP="00795143">
            <w:pPr>
              <w:autoSpaceDE w:val="0"/>
              <w:autoSpaceDN w:val="0"/>
              <w:adjustRightInd w:val="0"/>
              <w:ind w:right="-91"/>
              <w:jc w:val="center"/>
              <w:rPr>
                <w:rFonts w:ascii="Arial" w:eastAsia="Cambria" w:hAnsi="Arial" w:cs="Arial"/>
                <w:b/>
                <w:sz w:val="22"/>
                <w:szCs w:val="22"/>
                <w:lang w:eastAsia="en-US"/>
              </w:rPr>
            </w:pPr>
            <w:r w:rsidRPr="00795143">
              <w:rPr>
                <w:rFonts w:ascii="Arial" w:eastAsia="Cambria" w:hAnsi="Arial" w:cs="Arial"/>
                <w:b/>
                <w:sz w:val="22"/>
                <w:szCs w:val="22"/>
                <w:lang w:eastAsia="en-US"/>
              </w:rPr>
              <w:t>Transgrede o no la Autonomía Universitaria</w:t>
            </w:r>
          </w:p>
        </w:tc>
        <w:tc>
          <w:tcPr>
            <w:tcW w:w="3403" w:type="dxa"/>
          </w:tcPr>
          <w:p w:rsidR="00795143" w:rsidRPr="00795143" w:rsidRDefault="00795143" w:rsidP="00795143">
            <w:pPr>
              <w:autoSpaceDE w:val="0"/>
              <w:autoSpaceDN w:val="0"/>
              <w:adjustRightInd w:val="0"/>
              <w:ind w:right="-91"/>
              <w:jc w:val="center"/>
              <w:rPr>
                <w:rFonts w:ascii="Arial" w:eastAsia="Cambria" w:hAnsi="Arial" w:cs="Arial"/>
                <w:b/>
                <w:sz w:val="22"/>
                <w:szCs w:val="22"/>
                <w:lang w:eastAsia="en-US"/>
              </w:rPr>
            </w:pPr>
            <w:r w:rsidRPr="00795143">
              <w:rPr>
                <w:rFonts w:ascii="Arial" w:eastAsia="Cambria" w:hAnsi="Arial" w:cs="Arial"/>
                <w:b/>
                <w:sz w:val="22"/>
                <w:szCs w:val="22"/>
                <w:lang w:eastAsia="en-US"/>
              </w:rPr>
              <w:t>Observaciones de las diferentes entidades institucionales consultadas</w:t>
            </w:r>
          </w:p>
        </w:tc>
      </w:tr>
      <w:tr w:rsidR="00795143" w:rsidRPr="00795143" w:rsidTr="00B20B79">
        <w:tc>
          <w:tcPr>
            <w:tcW w:w="1413" w:type="dxa"/>
          </w:tcPr>
          <w:p w:rsidR="00795143" w:rsidRPr="00795143" w:rsidRDefault="00795143" w:rsidP="00795143">
            <w:pPr>
              <w:autoSpaceDE w:val="0"/>
              <w:autoSpaceDN w:val="0"/>
              <w:adjustRightInd w:val="0"/>
              <w:ind w:right="-91"/>
              <w:jc w:val="center"/>
              <w:rPr>
                <w:rFonts w:ascii="Arial" w:eastAsia="Cambria" w:hAnsi="Arial" w:cs="Arial"/>
                <w:b/>
                <w:sz w:val="22"/>
                <w:szCs w:val="22"/>
                <w:lang w:eastAsia="en-US"/>
              </w:rPr>
            </w:pPr>
            <w:r w:rsidRPr="00795143">
              <w:rPr>
                <w:rFonts w:ascii="Arial" w:eastAsia="SimSun" w:hAnsi="Arial" w:cs="Arial"/>
                <w:b/>
                <w:iCs/>
                <w:sz w:val="20"/>
                <w:szCs w:val="20"/>
              </w:rPr>
              <w:t>21.149</w:t>
            </w:r>
          </w:p>
        </w:tc>
        <w:tc>
          <w:tcPr>
            <w:tcW w:w="2835" w:type="dxa"/>
          </w:tcPr>
          <w:p w:rsidR="00795143" w:rsidRPr="00795143" w:rsidRDefault="00795143" w:rsidP="00795143">
            <w:pPr>
              <w:autoSpaceDE w:val="0"/>
              <w:autoSpaceDN w:val="0"/>
              <w:adjustRightInd w:val="0"/>
              <w:ind w:right="37"/>
              <w:jc w:val="both"/>
              <w:rPr>
                <w:rFonts w:ascii="Arial" w:eastAsia="Cambria" w:hAnsi="Arial" w:cs="Arial"/>
                <w:sz w:val="22"/>
                <w:szCs w:val="22"/>
                <w:lang w:eastAsia="en-US"/>
              </w:rPr>
            </w:pPr>
            <w:r w:rsidRPr="00795143">
              <w:rPr>
                <w:rFonts w:ascii="Arial" w:eastAsia="SimSun" w:hAnsi="Arial" w:cs="Arial"/>
                <w:b/>
                <w:iCs/>
                <w:sz w:val="20"/>
                <w:szCs w:val="20"/>
              </w:rPr>
              <w:t>Proyecto de Ley “Reforma de los Artículos 94, 95, 96, 97 y 100 y Adición al Artículo 70 del Código de Trabajo, Ley No 2 y sus Reformas, para combatir la Discriminación Laboral contra las Mujeres en Condición de Maternidad”</w:t>
            </w:r>
          </w:p>
        </w:tc>
        <w:tc>
          <w:tcPr>
            <w:tcW w:w="1984" w:type="dxa"/>
          </w:tcPr>
          <w:p w:rsidR="00795143" w:rsidRPr="00795143" w:rsidRDefault="00795143" w:rsidP="00795143">
            <w:pPr>
              <w:autoSpaceDE w:val="0"/>
              <w:autoSpaceDN w:val="0"/>
              <w:adjustRightInd w:val="0"/>
              <w:ind w:right="-91"/>
              <w:jc w:val="center"/>
              <w:rPr>
                <w:rFonts w:ascii="Arial" w:eastAsia="Cambria" w:hAnsi="Arial" w:cs="Arial"/>
                <w:sz w:val="22"/>
                <w:szCs w:val="22"/>
                <w:lang w:eastAsia="en-US"/>
              </w:rPr>
            </w:pPr>
            <w:r w:rsidRPr="00795143">
              <w:rPr>
                <w:rFonts w:ascii="Arial" w:eastAsia="Cambria" w:hAnsi="Arial" w:cs="Arial"/>
                <w:sz w:val="22"/>
                <w:szCs w:val="22"/>
                <w:lang w:eastAsia="en-US"/>
              </w:rPr>
              <w:t>No</w:t>
            </w:r>
          </w:p>
        </w:tc>
        <w:tc>
          <w:tcPr>
            <w:tcW w:w="3403" w:type="dxa"/>
          </w:tcPr>
          <w:p w:rsidR="00795143" w:rsidRPr="00795143" w:rsidRDefault="00795143" w:rsidP="00795143">
            <w:pPr>
              <w:autoSpaceDE w:val="0"/>
              <w:autoSpaceDN w:val="0"/>
              <w:adjustRightInd w:val="0"/>
              <w:ind w:right="-91"/>
              <w:jc w:val="both"/>
              <w:rPr>
                <w:rFonts w:ascii="Arial" w:eastAsia="Cambria" w:hAnsi="Arial" w:cs="Arial"/>
                <w:b/>
                <w:i/>
                <w:sz w:val="22"/>
                <w:szCs w:val="22"/>
                <w:u w:val="single"/>
                <w:lang w:eastAsia="en-US"/>
              </w:rPr>
            </w:pPr>
            <w:r w:rsidRPr="00795143">
              <w:rPr>
                <w:rFonts w:ascii="Arial" w:eastAsia="Cambria" w:hAnsi="Arial" w:cs="Arial"/>
                <w:b/>
                <w:i/>
                <w:sz w:val="22"/>
                <w:szCs w:val="22"/>
                <w:u w:val="single"/>
                <w:lang w:eastAsia="en-US"/>
              </w:rPr>
              <w:t>Oficina de Asesoría Legal</w:t>
            </w:r>
          </w:p>
          <w:p w:rsidR="00795143" w:rsidRPr="00795143" w:rsidRDefault="00795143" w:rsidP="00795143">
            <w:pPr>
              <w:jc w:val="both"/>
              <w:rPr>
                <w:rFonts w:ascii="Arial" w:hAnsi="Arial" w:cs="Arial"/>
                <w:i/>
                <w:sz w:val="20"/>
                <w:szCs w:val="20"/>
              </w:rPr>
            </w:pPr>
          </w:p>
          <w:p w:rsidR="00795143" w:rsidRPr="00795143" w:rsidRDefault="00795143" w:rsidP="00795143">
            <w:pPr>
              <w:autoSpaceDE w:val="0"/>
              <w:autoSpaceDN w:val="0"/>
              <w:adjustRightInd w:val="0"/>
              <w:jc w:val="both"/>
              <w:rPr>
                <w:rFonts w:ascii="Arial" w:hAnsi="Arial" w:cs="Arial"/>
                <w:i/>
                <w:sz w:val="20"/>
                <w:szCs w:val="20"/>
              </w:rPr>
            </w:pPr>
            <w:r w:rsidRPr="00795143">
              <w:rPr>
                <w:rFonts w:ascii="Arial" w:hAnsi="Arial" w:cs="Arial"/>
                <w:i/>
                <w:sz w:val="20"/>
                <w:szCs w:val="20"/>
              </w:rPr>
              <w:t>“1-La propuesta objeto de consulta mantiene las bases fundamentales de cada artículo</w:t>
            </w:r>
            <w:r w:rsidRPr="00795143">
              <w:rPr>
                <w:rFonts w:ascii="Arial" w:hAnsi="Arial" w:cs="Arial"/>
                <w:i/>
                <w:sz w:val="22"/>
                <w:szCs w:val="22"/>
              </w:rPr>
              <w:t xml:space="preserve"> </w:t>
            </w:r>
            <w:r w:rsidRPr="00795143">
              <w:rPr>
                <w:rFonts w:ascii="Arial" w:hAnsi="Arial" w:cs="Arial"/>
                <w:i/>
                <w:sz w:val="20"/>
                <w:szCs w:val="20"/>
              </w:rPr>
              <w:t>en relación a derechos fundamentales los cuales no son variados y se mantienen vigentes. En algunos casos se pretende una mejor redacción y desarrollar los derechos fundamentales de igualdad, y garantizar aquellos derivados de un estado de maternidad o paternidad, incluida la adopción.  Bajo esta tesitura se considera que el presente proyecto no violenta la autonomía universitaria.</w:t>
            </w:r>
          </w:p>
          <w:p w:rsidR="00795143" w:rsidRPr="00795143" w:rsidRDefault="00795143" w:rsidP="00795143">
            <w:pPr>
              <w:autoSpaceDE w:val="0"/>
              <w:autoSpaceDN w:val="0"/>
              <w:adjustRightInd w:val="0"/>
              <w:jc w:val="both"/>
              <w:rPr>
                <w:rFonts w:ascii="Arial" w:hAnsi="Arial" w:cs="Arial"/>
                <w:i/>
                <w:sz w:val="20"/>
                <w:szCs w:val="20"/>
              </w:rPr>
            </w:pPr>
            <w:r w:rsidRPr="00795143">
              <w:rPr>
                <w:rFonts w:ascii="Arial" w:hAnsi="Arial" w:cs="Arial"/>
                <w:i/>
                <w:sz w:val="20"/>
                <w:szCs w:val="20"/>
              </w:rPr>
              <w:t>2- Se estima que la Institución ha aunado esfuerzos, con el fin de adoptar medidas a favor de la igualdad de género y respeto a los derechos entre ellas: igualdad salarial, igualdad de oportunidades al momento de optar por algún cargo, la creación de una Oficina de Genero entre otros.  En relación al tema de la maternidad y los derechos derivados de ella igualmente la institución ha dado avances importantes como es las estipulaciones contenidas en la Segunda Convención Colectiva y sus reformas y ha sido respetuosa de las regulaciones que sobre este tema se encuentran en el Ordenamiento jurídico.</w:t>
            </w:r>
          </w:p>
          <w:p w:rsidR="00795143" w:rsidRPr="00795143" w:rsidRDefault="00795143" w:rsidP="00795143">
            <w:pPr>
              <w:autoSpaceDE w:val="0"/>
              <w:autoSpaceDN w:val="0"/>
              <w:adjustRightInd w:val="0"/>
              <w:jc w:val="both"/>
              <w:rPr>
                <w:rFonts w:ascii="Arial" w:hAnsi="Arial" w:cs="Arial"/>
                <w:i/>
                <w:sz w:val="20"/>
                <w:szCs w:val="20"/>
              </w:rPr>
            </w:pPr>
            <w:r w:rsidRPr="00795143">
              <w:rPr>
                <w:rFonts w:ascii="Arial" w:hAnsi="Arial" w:cs="Arial"/>
                <w:i/>
                <w:sz w:val="20"/>
                <w:szCs w:val="20"/>
              </w:rPr>
              <w:t>3- Se recomienda contar con el criterio de la Oficina de Equidad de Género.</w:t>
            </w:r>
          </w:p>
          <w:p w:rsidR="00795143" w:rsidRPr="00795143" w:rsidRDefault="00795143" w:rsidP="00795143">
            <w:pPr>
              <w:widowControl w:val="0"/>
              <w:jc w:val="both"/>
              <w:rPr>
                <w:rFonts w:ascii="Arial" w:hAnsi="Arial" w:cs="Arial"/>
                <w:i/>
                <w:sz w:val="20"/>
                <w:szCs w:val="20"/>
              </w:rPr>
            </w:pPr>
            <w:r w:rsidRPr="00795143">
              <w:rPr>
                <w:rFonts w:ascii="Arial" w:hAnsi="Arial" w:cs="Arial"/>
                <w:i/>
                <w:sz w:val="20"/>
                <w:szCs w:val="20"/>
              </w:rPr>
              <w:t>4- Se indica que este dictamen no es vinculante, dada las facultades de decisión que ostenta y ejerce el Consejo Institucional.”</w:t>
            </w:r>
          </w:p>
          <w:p w:rsidR="00795143" w:rsidRPr="00795143" w:rsidRDefault="00795143" w:rsidP="00795143">
            <w:pPr>
              <w:jc w:val="both"/>
              <w:rPr>
                <w:rFonts w:ascii="Arial" w:eastAsia="Cambria" w:hAnsi="Arial" w:cs="Arial"/>
                <w:b/>
                <w:i/>
                <w:sz w:val="22"/>
                <w:szCs w:val="22"/>
                <w:lang w:val="es-CR" w:eastAsia="en-US"/>
              </w:rPr>
            </w:pPr>
          </w:p>
          <w:p w:rsidR="00795143" w:rsidRPr="00795143" w:rsidRDefault="00795143" w:rsidP="00795143">
            <w:pPr>
              <w:autoSpaceDE w:val="0"/>
              <w:autoSpaceDN w:val="0"/>
              <w:adjustRightInd w:val="0"/>
              <w:ind w:right="-91"/>
              <w:jc w:val="both"/>
              <w:rPr>
                <w:rFonts w:ascii="Arial" w:eastAsia="Cambria" w:hAnsi="Arial" w:cs="Arial"/>
                <w:b/>
                <w:i/>
                <w:sz w:val="22"/>
                <w:szCs w:val="22"/>
                <w:u w:val="single"/>
                <w:lang w:eastAsia="en-US"/>
              </w:rPr>
            </w:pPr>
            <w:r w:rsidRPr="00795143">
              <w:rPr>
                <w:rFonts w:ascii="Arial" w:eastAsia="Cambria" w:hAnsi="Arial" w:cs="Arial"/>
                <w:b/>
                <w:i/>
                <w:sz w:val="22"/>
                <w:szCs w:val="22"/>
                <w:u w:val="single"/>
                <w:lang w:eastAsia="en-US"/>
              </w:rPr>
              <w:t>Oficina de Equidad de Género</w:t>
            </w:r>
          </w:p>
          <w:p w:rsidR="00795143" w:rsidRPr="00795143" w:rsidRDefault="00795143" w:rsidP="00795143">
            <w:pPr>
              <w:autoSpaceDE w:val="0"/>
              <w:autoSpaceDN w:val="0"/>
              <w:adjustRightInd w:val="0"/>
              <w:ind w:right="-91"/>
              <w:jc w:val="both"/>
              <w:rPr>
                <w:rFonts w:ascii="Arial" w:hAnsi="Arial" w:cs="Arial"/>
                <w:i/>
                <w:sz w:val="20"/>
                <w:szCs w:val="20"/>
              </w:rPr>
            </w:pPr>
          </w:p>
          <w:p w:rsidR="00795143" w:rsidRPr="00795143" w:rsidRDefault="00795143" w:rsidP="00795143">
            <w:pPr>
              <w:autoSpaceDE w:val="0"/>
              <w:autoSpaceDN w:val="0"/>
              <w:adjustRightInd w:val="0"/>
              <w:jc w:val="both"/>
              <w:rPr>
                <w:rFonts w:ascii="Arial" w:hAnsi="Arial" w:cs="Arial"/>
                <w:i/>
                <w:sz w:val="20"/>
                <w:szCs w:val="20"/>
              </w:rPr>
            </w:pPr>
            <w:r w:rsidRPr="00795143">
              <w:rPr>
                <w:rFonts w:ascii="Arial" w:hAnsi="Arial" w:cs="Arial"/>
                <w:i/>
                <w:sz w:val="20"/>
                <w:szCs w:val="20"/>
              </w:rPr>
              <w:t xml:space="preserve">“Con las observaciones indicadas en cada caso, nos parece conveniente apoyarlo, pues incorpora modificaciones que mejoran el reconocimiento de los derechos relacionados con las </w:t>
            </w:r>
            <w:r w:rsidRPr="00795143">
              <w:rPr>
                <w:rFonts w:ascii="Arial" w:hAnsi="Arial" w:cs="Arial"/>
                <w:i/>
                <w:sz w:val="20"/>
                <w:szCs w:val="20"/>
              </w:rPr>
              <w:lastRenderedPageBreak/>
              <w:t xml:space="preserve">licencias por maternidad, y por adopción. </w:t>
            </w:r>
          </w:p>
          <w:p w:rsidR="00795143" w:rsidRPr="00795143" w:rsidRDefault="00795143" w:rsidP="00795143">
            <w:pPr>
              <w:autoSpaceDE w:val="0"/>
              <w:autoSpaceDN w:val="0"/>
              <w:adjustRightInd w:val="0"/>
              <w:jc w:val="both"/>
              <w:rPr>
                <w:rFonts w:ascii="Arial" w:hAnsi="Arial" w:cs="Arial"/>
                <w:i/>
                <w:sz w:val="20"/>
                <w:szCs w:val="20"/>
              </w:rPr>
            </w:pPr>
          </w:p>
          <w:p w:rsidR="00795143" w:rsidRPr="00795143" w:rsidRDefault="00795143" w:rsidP="00795143">
            <w:pPr>
              <w:autoSpaceDE w:val="0"/>
              <w:autoSpaceDN w:val="0"/>
              <w:adjustRightInd w:val="0"/>
              <w:jc w:val="both"/>
              <w:rPr>
                <w:rFonts w:ascii="Arial" w:hAnsi="Arial" w:cs="Arial"/>
                <w:i/>
                <w:sz w:val="20"/>
                <w:szCs w:val="20"/>
              </w:rPr>
            </w:pPr>
            <w:r w:rsidRPr="00795143">
              <w:rPr>
                <w:rFonts w:ascii="Arial" w:hAnsi="Arial" w:cs="Arial"/>
                <w:i/>
                <w:sz w:val="20"/>
                <w:szCs w:val="20"/>
              </w:rPr>
              <w:t>Asimismo, establece mejoras en los tiempos de lactancia y en las condiciones que deben tener las Salas de Lactancia.”</w:t>
            </w:r>
          </w:p>
          <w:p w:rsidR="00795143" w:rsidRPr="00795143" w:rsidRDefault="00795143" w:rsidP="00795143">
            <w:pPr>
              <w:autoSpaceDE w:val="0"/>
              <w:autoSpaceDN w:val="0"/>
              <w:adjustRightInd w:val="0"/>
              <w:jc w:val="both"/>
              <w:rPr>
                <w:rFonts w:ascii="Arial" w:eastAsiaTheme="minorHAnsi" w:hAnsi="Arial" w:cs="Arial"/>
                <w:i/>
                <w:color w:val="000000"/>
                <w:sz w:val="22"/>
                <w:szCs w:val="22"/>
                <w:lang w:eastAsia="en-US"/>
              </w:rPr>
            </w:pPr>
          </w:p>
          <w:p w:rsidR="00795143" w:rsidRPr="00795143" w:rsidRDefault="00795143" w:rsidP="00795143">
            <w:pPr>
              <w:autoSpaceDE w:val="0"/>
              <w:autoSpaceDN w:val="0"/>
              <w:adjustRightInd w:val="0"/>
              <w:jc w:val="both"/>
              <w:rPr>
                <w:rFonts w:ascii="Arial" w:eastAsia="Cambria" w:hAnsi="Arial" w:cs="Arial"/>
                <w:b/>
                <w:i/>
                <w:sz w:val="22"/>
                <w:szCs w:val="22"/>
                <w:u w:val="single"/>
                <w:lang w:eastAsia="en-US"/>
              </w:rPr>
            </w:pPr>
            <w:r w:rsidRPr="00795143">
              <w:rPr>
                <w:rFonts w:ascii="Arial" w:eastAsia="Cambria" w:hAnsi="Arial" w:cs="Arial"/>
                <w:b/>
                <w:i/>
                <w:sz w:val="22"/>
                <w:szCs w:val="22"/>
                <w:u w:val="single"/>
                <w:lang w:eastAsia="en-US"/>
              </w:rPr>
              <w:t>Escuela de Idiomas y Ciencias Sociales</w:t>
            </w:r>
          </w:p>
          <w:p w:rsidR="00795143" w:rsidRPr="00795143" w:rsidRDefault="00795143" w:rsidP="00795143">
            <w:pPr>
              <w:autoSpaceDE w:val="0"/>
              <w:autoSpaceDN w:val="0"/>
              <w:adjustRightInd w:val="0"/>
              <w:ind w:right="-91"/>
              <w:jc w:val="both"/>
              <w:rPr>
                <w:rFonts w:ascii="Arial" w:hAnsi="Arial" w:cs="Arial"/>
                <w:i/>
                <w:sz w:val="20"/>
                <w:szCs w:val="20"/>
              </w:rPr>
            </w:pPr>
          </w:p>
          <w:p w:rsidR="00795143" w:rsidRPr="00795143" w:rsidRDefault="00795143" w:rsidP="00795143">
            <w:pPr>
              <w:autoSpaceDE w:val="0"/>
              <w:autoSpaceDN w:val="0"/>
              <w:adjustRightInd w:val="0"/>
              <w:jc w:val="both"/>
              <w:rPr>
                <w:rFonts w:ascii="Arial" w:hAnsi="Arial" w:cs="Arial"/>
                <w:i/>
                <w:sz w:val="20"/>
                <w:szCs w:val="20"/>
              </w:rPr>
            </w:pPr>
            <w:r w:rsidRPr="00795143">
              <w:rPr>
                <w:rFonts w:ascii="Arial" w:hAnsi="Arial" w:cs="Arial"/>
                <w:i/>
                <w:sz w:val="20"/>
                <w:szCs w:val="20"/>
              </w:rPr>
              <w:t xml:space="preserve">“El proyecto de ley es positivo, en el </w:t>
            </w:r>
            <w:proofErr w:type="gramStart"/>
            <w:r w:rsidRPr="00795143">
              <w:rPr>
                <w:rFonts w:ascii="Arial" w:hAnsi="Arial" w:cs="Arial"/>
                <w:i/>
                <w:sz w:val="20"/>
                <w:szCs w:val="20"/>
              </w:rPr>
              <w:t>tanto procura</w:t>
            </w:r>
            <w:proofErr w:type="gramEnd"/>
            <w:r w:rsidRPr="00795143">
              <w:rPr>
                <w:rFonts w:ascii="Arial" w:hAnsi="Arial" w:cs="Arial"/>
                <w:i/>
                <w:sz w:val="20"/>
                <w:szCs w:val="20"/>
              </w:rPr>
              <w:t xml:space="preserve"> mejorar las condiciones laborales de la mujer, atacando la discriminación laboral. El principio general de derecho laboral de progresividad (los derechos laborales tienden a la superación) llamaría a considerar las propuestas realizadas, en aras de tornar más extensivas y explícitas las disposiciones, atendiendo a criterios jurisprudenciales y la experiencia. Sin embargo, la redacción actual del artículo 100 implica una dificultad o pérdida de una conquista social importante, al restringir la existencia de salas de lactancia a la concurrencia de treinta mujeres en estado de lactancia. Asimismo, promover una licencia de paternidad sin goce salarial y excluyendo la filiación adoptiva, implicaría el establecimiento de una norma que realmente no beneficia el bienestar del menor y la familia. Por estos motivos, se recomienda no apoyar este proyecto de Ley en el tanto no se corrija la redacción de tales artículos de modo tal, que se cumpla efectivamente el espíritu que motivó esta reforma. Llamamos al Consejo Institucional a advertir a las personas legisladoras sobre la necesidad de modificar la redacción de los artículos 95 inciso c) y 100. Una vez modificado lo anterior de la forma señalada, se consideraría la aprobación de este proyecto en aras de avanzar en la lucha contra la discriminación, lo cual debe ser un imperativo moral y social.”</w:t>
            </w:r>
          </w:p>
          <w:p w:rsidR="00795143" w:rsidRPr="00795143" w:rsidRDefault="00795143" w:rsidP="00795143">
            <w:pPr>
              <w:jc w:val="both"/>
              <w:rPr>
                <w:rFonts w:ascii="Arial" w:eastAsia="Cambria" w:hAnsi="Arial" w:cs="Arial"/>
                <w:b/>
                <w:sz w:val="22"/>
                <w:szCs w:val="22"/>
                <w:lang w:eastAsia="en-US"/>
              </w:rPr>
            </w:pPr>
          </w:p>
          <w:p w:rsidR="00795143" w:rsidRPr="00795143" w:rsidRDefault="00795143" w:rsidP="00795143">
            <w:pPr>
              <w:autoSpaceDE w:val="0"/>
              <w:autoSpaceDN w:val="0"/>
              <w:adjustRightInd w:val="0"/>
              <w:jc w:val="both"/>
              <w:rPr>
                <w:rFonts w:ascii="Arial" w:eastAsia="Cambria" w:hAnsi="Arial" w:cs="Arial"/>
                <w:b/>
                <w:i/>
                <w:sz w:val="22"/>
                <w:szCs w:val="22"/>
                <w:u w:val="single"/>
                <w:lang w:eastAsia="en-US"/>
              </w:rPr>
            </w:pPr>
            <w:r w:rsidRPr="00795143">
              <w:rPr>
                <w:rFonts w:ascii="Arial" w:eastAsia="Cambria" w:hAnsi="Arial" w:cs="Arial"/>
                <w:b/>
                <w:i/>
                <w:sz w:val="22"/>
                <w:szCs w:val="22"/>
                <w:u w:val="single"/>
                <w:lang w:eastAsia="en-US"/>
              </w:rPr>
              <w:t>Vida Estudiantil y Servicios Académicos</w:t>
            </w:r>
          </w:p>
          <w:p w:rsidR="00795143" w:rsidRPr="00795143" w:rsidRDefault="00795143" w:rsidP="00795143">
            <w:pPr>
              <w:autoSpaceDE w:val="0"/>
              <w:autoSpaceDN w:val="0"/>
              <w:adjustRightInd w:val="0"/>
              <w:ind w:right="-91"/>
              <w:jc w:val="both"/>
              <w:rPr>
                <w:rFonts w:ascii="Arial" w:eastAsia="Cambria" w:hAnsi="Arial" w:cs="Arial"/>
                <w:b/>
                <w:i/>
                <w:sz w:val="22"/>
                <w:szCs w:val="22"/>
                <w:u w:val="single"/>
                <w:lang w:eastAsia="en-US"/>
              </w:rPr>
            </w:pPr>
          </w:p>
          <w:tbl>
            <w:tblPr>
              <w:tblW w:w="3301" w:type="dxa"/>
              <w:tblBorders>
                <w:top w:val="nil"/>
                <w:left w:val="nil"/>
                <w:bottom w:val="nil"/>
                <w:right w:val="nil"/>
              </w:tblBorders>
              <w:tblLayout w:type="fixed"/>
              <w:tblLook w:val="0000" w:firstRow="0" w:lastRow="0" w:firstColumn="0" w:lastColumn="0" w:noHBand="0" w:noVBand="0"/>
            </w:tblPr>
            <w:tblGrid>
              <w:gridCol w:w="3301"/>
            </w:tblGrid>
            <w:tr w:rsidR="00795143" w:rsidRPr="00795143" w:rsidTr="00B20B79">
              <w:trPr>
                <w:trHeight w:val="2166"/>
              </w:trPr>
              <w:tc>
                <w:tcPr>
                  <w:tcW w:w="3301" w:type="dxa"/>
                </w:tcPr>
                <w:p w:rsidR="00795143" w:rsidRPr="00795143" w:rsidRDefault="00795143" w:rsidP="00795143">
                  <w:pPr>
                    <w:autoSpaceDE w:val="0"/>
                    <w:autoSpaceDN w:val="0"/>
                    <w:adjustRightInd w:val="0"/>
                    <w:ind w:right="-91"/>
                    <w:jc w:val="both"/>
                    <w:rPr>
                      <w:rFonts w:ascii="Arial" w:hAnsi="Arial" w:cs="Arial"/>
                      <w:i/>
                      <w:sz w:val="20"/>
                      <w:szCs w:val="20"/>
                      <w:lang w:val="es-CR"/>
                    </w:rPr>
                  </w:pPr>
                  <w:r w:rsidRPr="00795143">
                    <w:rPr>
                      <w:rFonts w:ascii="Arial" w:hAnsi="Arial" w:cs="Arial"/>
                      <w:i/>
                      <w:sz w:val="20"/>
                      <w:szCs w:val="20"/>
                      <w:lang w:val="es-CR"/>
                    </w:rPr>
                    <w:lastRenderedPageBreak/>
                    <w:t xml:space="preserve">“Si estamos de acuerdo. </w:t>
                  </w:r>
                </w:p>
                <w:p w:rsidR="00795143" w:rsidRPr="00795143" w:rsidRDefault="00795143" w:rsidP="00795143">
                  <w:pPr>
                    <w:autoSpaceDE w:val="0"/>
                    <w:autoSpaceDN w:val="0"/>
                    <w:adjustRightInd w:val="0"/>
                    <w:jc w:val="both"/>
                    <w:rPr>
                      <w:rFonts w:ascii="Arial" w:hAnsi="Arial" w:cs="Arial"/>
                      <w:i/>
                      <w:sz w:val="20"/>
                      <w:szCs w:val="20"/>
                      <w:lang w:val="es-CR"/>
                    </w:rPr>
                  </w:pPr>
                  <w:r w:rsidRPr="00795143">
                    <w:rPr>
                      <w:rFonts w:ascii="Arial" w:hAnsi="Arial" w:cs="Arial"/>
                      <w:i/>
                      <w:sz w:val="20"/>
                      <w:szCs w:val="20"/>
                      <w:lang w:val="es-CR"/>
                    </w:rPr>
                    <w:t>Sin embargo, si bien no apareció en la modificación de algún artículo específico de este proyecto, es importante aclarar que no parece viable ni apropiada la sugerencia brindada en la justificación de este proyecto sobre la exoneración a las pequeñas empresas y la posibilidad de que el Estado (Caja Costarricense del Seguro Social), deba asumir la totalidad del pago de las licencias de maternidad de las mismas.”</w:t>
                  </w:r>
                </w:p>
              </w:tc>
            </w:tr>
          </w:tbl>
          <w:p w:rsidR="00795143" w:rsidRPr="00795143" w:rsidRDefault="00795143" w:rsidP="00795143">
            <w:pPr>
              <w:autoSpaceDE w:val="0"/>
              <w:autoSpaceDN w:val="0"/>
              <w:adjustRightInd w:val="0"/>
              <w:ind w:right="-91"/>
              <w:jc w:val="both"/>
              <w:rPr>
                <w:rFonts w:ascii="Arial" w:eastAsia="Cambria" w:hAnsi="Arial" w:cs="Arial"/>
                <w:b/>
                <w:i/>
                <w:sz w:val="22"/>
                <w:szCs w:val="22"/>
                <w:u w:val="single"/>
                <w:lang w:eastAsia="en-US"/>
              </w:rPr>
            </w:pPr>
            <w:r w:rsidRPr="00795143">
              <w:rPr>
                <w:rFonts w:ascii="Arial" w:eastAsia="Cambria" w:hAnsi="Arial" w:cs="Arial"/>
                <w:b/>
                <w:i/>
                <w:sz w:val="22"/>
                <w:szCs w:val="22"/>
                <w:u w:val="single"/>
                <w:lang w:eastAsia="en-US"/>
              </w:rPr>
              <w:t>Escuela de Ciencias Sociales</w:t>
            </w:r>
          </w:p>
          <w:p w:rsidR="00795143" w:rsidRPr="00795143" w:rsidRDefault="00795143" w:rsidP="00795143">
            <w:pPr>
              <w:autoSpaceDE w:val="0"/>
              <w:autoSpaceDN w:val="0"/>
              <w:adjustRightInd w:val="0"/>
              <w:ind w:right="-91"/>
              <w:jc w:val="both"/>
              <w:rPr>
                <w:rFonts w:ascii="Arial" w:hAnsi="Arial" w:cs="Arial"/>
                <w:i/>
                <w:sz w:val="20"/>
                <w:szCs w:val="20"/>
              </w:rPr>
            </w:pPr>
          </w:p>
          <w:p w:rsidR="00795143" w:rsidRPr="00795143" w:rsidRDefault="00795143" w:rsidP="00795143">
            <w:pPr>
              <w:autoSpaceDE w:val="0"/>
              <w:autoSpaceDN w:val="0"/>
              <w:adjustRightInd w:val="0"/>
              <w:jc w:val="both"/>
              <w:rPr>
                <w:rFonts w:ascii="Arial" w:hAnsi="Arial" w:cs="Arial"/>
                <w:i/>
                <w:sz w:val="20"/>
                <w:szCs w:val="20"/>
              </w:rPr>
            </w:pPr>
            <w:r w:rsidRPr="00795143">
              <w:rPr>
                <w:rFonts w:ascii="Arial" w:hAnsi="Arial" w:cs="Arial"/>
                <w:i/>
                <w:sz w:val="20"/>
                <w:szCs w:val="20"/>
              </w:rPr>
              <w:t>“</w:t>
            </w:r>
            <w:r w:rsidRPr="00795143">
              <w:rPr>
                <w:rFonts w:ascii="Arial" w:hAnsi="Arial" w:cs="Arial"/>
                <w:i/>
                <w:sz w:val="20"/>
                <w:szCs w:val="20"/>
                <w:lang w:val="es-CR"/>
              </w:rPr>
              <w:t xml:space="preserve">Por considerar que esta reforma al Código de Trabajo, no menoscaba la autonomía universitaria y promueve la salud física y emocional de la madre, el padre y el menor neonato, con apego a los más caros principios de dignidad humana, promoviendo de esa forma el </w:t>
            </w:r>
            <w:proofErr w:type="spellStart"/>
            <w:r w:rsidRPr="00795143">
              <w:rPr>
                <w:rFonts w:ascii="Arial" w:hAnsi="Arial" w:cs="Arial"/>
                <w:i/>
                <w:sz w:val="20"/>
                <w:szCs w:val="20"/>
                <w:lang w:val="es-CR"/>
              </w:rPr>
              <w:t>constructo</w:t>
            </w:r>
            <w:proofErr w:type="spellEnd"/>
            <w:r w:rsidRPr="00795143">
              <w:rPr>
                <w:rFonts w:ascii="Arial" w:hAnsi="Arial" w:cs="Arial"/>
                <w:i/>
                <w:sz w:val="20"/>
                <w:szCs w:val="20"/>
                <w:lang w:val="es-CR"/>
              </w:rPr>
              <w:t xml:space="preserve"> de trabajo decente que ha acuñado la Organización Internacional del Trabajo, no encuentro objeciones para apoyar el proyecto de Ley, contenido en el Expediente 21.149, para reformar los artículos 94. 95, 96 y 100 y adición al artículo 70 del Código de Trabajo.”</w:t>
            </w:r>
          </w:p>
        </w:tc>
      </w:tr>
    </w:tbl>
    <w:p w:rsidR="00795143" w:rsidRPr="00795143" w:rsidRDefault="00795143" w:rsidP="00795143">
      <w:pPr>
        <w:jc w:val="both"/>
        <w:rPr>
          <w:rFonts w:ascii="Arial" w:hAnsi="Arial" w:cs="Arial"/>
          <w:sz w:val="22"/>
          <w:szCs w:val="22"/>
          <w:lang w:val="es-CR"/>
        </w:rPr>
      </w:pPr>
    </w:p>
    <w:p w:rsidR="00795143" w:rsidRPr="00795143" w:rsidRDefault="00795143" w:rsidP="00795143">
      <w:pPr>
        <w:autoSpaceDE w:val="0"/>
        <w:autoSpaceDN w:val="0"/>
        <w:adjustRightInd w:val="0"/>
        <w:ind w:right="-91"/>
        <w:jc w:val="both"/>
        <w:rPr>
          <w:rFonts w:ascii="Arial" w:eastAsia="Cambria" w:hAnsi="Arial" w:cs="Arial"/>
          <w:sz w:val="22"/>
          <w:szCs w:val="22"/>
          <w:u w:val="single"/>
          <w:lang w:eastAsia="en-US"/>
        </w:rPr>
      </w:pPr>
      <w:r w:rsidRPr="00795143">
        <w:rPr>
          <w:rFonts w:ascii="Arial" w:eastAsia="Cambria" w:hAnsi="Arial" w:cs="Arial"/>
          <w:sz w:val="22"/>
          <w:szCs w:val="22"/>
          <w:u w:val="single"/>
          <w:lang w:eastAsia="en-US"/>
        </w:rPr>
        <w:t xml:space="preserve">Comisión Permanente de Asuntos Sociales </w:t>
      </w:r>
    </w:p>
    <w:p w:rsidR="00795143" w:rsidRPr="00795143" w:rsidRDefault="00795143" w:rsidP="00795143">
      <w:pPr>
        <w:autoSpaceDE w:val="0"/>
        <w:autoSpaceDN w:val="0"/>
        <w:adjustRightInd w:val="0"/>
        <w:ind w:right="-91"/>
        <w:jc w:val="both"/>
        <w:rPr>
          <w:rFonts w:ascii="Arial" w:eastAsia="Cambria" w:hAnsi="Arial" w:cs="Arial"/>
          <w:sz w:val="22"/>
          <w:szCs w:val="22"/>
          <w:lang w:eastAsia="en-US"/>
        </w:rPr>
      </w:pPr>
    </w:p>
    <w:tbl>
      <w:tblPr>
        <w:tblStyle w:val="Tablaconcuadrcula15"/>
        <w:tblW w:w="9776" w:type="dxa"/>
        <w:tblLayout w:type="fixed"/>
        <w:tblLook w:val="04A0" w:firstRow="1" w:lastRow="0" w:firstColumn="1" w:lastColumn="0" w:noHBand="0" w:noVBand="1"/>
      </w:tblPr>
      <w:tblGrid>
        <w:gridCol w:w="1554"/>
        <w:gridCol w:w="2835"/>
        <w:gridCol w:w="1984"/>
        <w:gridCol w:w="3403"/>
      </w:tblGrid>
      <w:tr w:rsidR="00795143" w:rsidRPr="00795143" w:rsidTr="00B20B79">
        <w:tc>
          <w:tcPr>
            <w:tcW w:w="1554" w:type="dxa"/>
          </w:tcPr>
          <w:p w:rsidR="00795143" w:rsidRPr="00795143" w:rsidRDefault="00795143" w:rsidP="00795143">
            <w:pPr>
              <w:autoSpaceDE w:val="0"/>
              <w:autoSpaceDN w:val="0"/>
              <w:adjustRightInd w:val="0"/>
              <w:ind w:right="-91"/>
              <w:jc w:val="center"/>
              <w:rPr>
                <w:rFonts w:ascii="Arial" w:eastAsia="Cambria" w:hAnsi="Arial" w:cs="Arial"/>
                <w:b/>
                <w:sz w:val="22"/>
                <w:szCs w:val="22"/>
                <w:lang w:eastAsia="en-US"/>
              </w:rPr>
            </w:pPr>
            <w:r w:rsidRPr="00795143">
              <w:rPr>
                <w:rFonts w:ascii="Arial" w:eastAsia="Cambria" w:hAnsi="Arial" w:cs="Arial"/>
                <w:b/>
                <w:sz w:val="22"/>
                <w:szCs w:val="22"/>
                <w:lang w:eastAsia="en-US"/>
              </w:rPr>
              <w:t>No. Expediente</w:t>
            </w:r>
          </w:p>
        </w:tc>
        <w:tc>
          <w:tcPr>
            <w:tcW w:w="2835" w:type="dxa"/>
          </w:tcPr>
          <w:p w:rsidR="00795143" w:rsidRPr="00795143" w:rsidRDefault="00795143" w:rsidP="00795143">
            <w:pPr>
              <w:autoSpaceDE w:val="0"/>
              <w:autoSpaceDN w:val="0"/>
              <w:adjustRightInd w:val="0"/>
              <w:ind w:right="-91"/>
              <w:jc w:val="center"/>
              <w:rPr>
                <w:rFonts w:ascii="Arial" w:eastAsia="Cambria" w:hAnsi="Arial" w:cs="Arial"/>
                <w:b/>
                <w:sz w:val="22"/>
                <w:szCs w:val="22"/>
                <w:lang w:eastAsia="en-US"/>
              </w:rPr>
            </w:pPr>
            <w:r w:rsidRPr="00795143">
              <w:rPr>
                <w:rFonts w:ascii="Arial" w:eastAsia="Cambria" w:hAnsi="Arial" w:cs="Arial"/>
                <w:b/>
                <w:sz w:val="22"/>
                <w:szCs w:val="22"/>
                <w:lang w:eastAsia="en-US"/>
              </w:rPr>
              <w:t>Nombre del Proyecto</w:t>
            </w:r>
          </w:p>
        </w:tc>
        <w:tc>
          <w:tcPr>
            <w:tcW w:w="1984" w:type="dxa"/>
          </w:tcPr>
          <w:p w:rsidR="00795143" w:rsidRPr="00795143" w:rsidRDefault="00795143" w:rsidP="00795143">
            <w:pPr>
              <w:autoSpaceDE w:val="0"/>
              <w:autoSpaceDN w:val="0"/>
              <w:adjustRightInd w:val="0"/>
              <w:ind w:right="-91"/>
              <w:jc w:val="center"/>
              <w:rPr>
                <w:rFonts w:ascii="Arial" w:eastAsia="Cambria" w:hAnsi="Arial" w:cs="Arial"/>
                <w:b/>
                <w:sz w:val="22"/>
                <w:szCs w:val="22"/>
                <w:lang w:eastAsia="en-US"/>
              </w:rPr>
            </w:pPr>
            <w:r w:rsidRPr="00795143">
              <w:rPr>
                <w:rFonts w:ascii="Arial" w:eastAsia="Cambria" w:hAnsi="Arial" w:cs="Arial"/>
                <w:b/>
                <w:sz w:val="22"/>
                <w:szCs w:val="22"/>
                <w:lang w:eastAsia="en-US"/>
              </w:rPr>
              <w:t>Transgrede o no la Autonomía Universitaria</w:t>
            </w:r>
          </w:p>
        </w:tc>
        <w:tc>
          <w:tcPr>
            <w:tcW w:w="3403" w:type="dxa"/>
          </w:tcPr>
          <w:p w:rsidR="00795143" w:rsidRPr="00795143" w:rsidRDefault="00795143" w:rsidP="00795143">
            <w:pPr>
              <w:autoSpaceDE w:val="0"/>
              <w:autoSpaceDN w:val="0"/>
              <w:adjustRightInd w:val="0"/>
              <w:ind w:right="-91"/>
              <w:jc w:val="center"/>
              <w:rPr>
                <w:rFonts w:ascii="Arial" w:eastAsia="Cambria" w:hAnsi="Arial" w:cs="Arial"/>
                <w:b/>
                <w:sz w:val="22"/>
                <w:szCs w:val="22"/>
                <w:lang w:eastAsia="en-US"/>
              </w:rPr>
            </w:pPr>
            <w:r w:rsidRPr="00795143">
              <w:rPr>
                <w:rFonts w:ascii="Arial" w:eastAsia="Cambria" w:hAnsi="Arial" w:cs="Arial"/>
                <w:b/>
                <w:sz w:val="22"/>
                <w:szCs w:val="22"/>
                <w:lang w:eastAsia="en-US"/>
              </w:rPr>
              <w:t>Observaciones de las diferentes entidades institucionales consultadas</w:t>
            </w:r>
          </w:p>
        </w:tc>
      </w:tr>
      <w:tr w:rsidR="00795143" w:rsidRPr="00795143" w:rsidTr="00B20B79">
        <w:tc>
          <w:tcPr>
            <w:tcW w:w="1554" w:type="dxa"/>
          </w:tcPr>
          <w:p w:rsidR="00795143" w:rsidRPr="00795143" w:rsidRDefault="00795143" w:rsidP="00795143">
            <w:pPr>
              <w:autoSpaceDE w:val="0"/>
              <w:autoSpaceDN w:val="0"/>
              <w:adjustRightInd w:val="0"/>
              <w:ind w:right="-91"/>
              <w:jc w:val="center"/>
              <w:rPr>
                <w:rFonts w:ascii="Arial" w:eastAsia="Cambria" w:hAnsi="Arial" w:cs="Arial"/>
                <w:b/>
                <w:sz w:val="22"/>
                <w:szCs w:val="22"/>
                <w:lang w:eastAsia="en-US"/>
              </w:rPr>
            </w:pPr>
            <w:r w:rsidRPr="00795143">
              <w:rPr>
                <w:rFonts w:ascii="Arial" w:eastAsia="SimSun" w:hAnsi="Arial" w:cs="Arial"/>
                <w:b/>
                <w:iCs/>
                <w:sz w:val="20"/>
                <w:szCs w:val="20"/>
              </w:rPr>
              <w:t>21.329</w:t>
            </w:r>
          </w:p>
        </w:tc>
        <w:tc>
          <w:tcPr>
            <w:tcW w:w="2835" w:type="dxa"/>
          </w:tcPr>
          <w:p w:rsidR="00795143" w:rsidRPr="00795143" w:rsidRDefault="00795143" w:rsidP="00795143">
            <w:pPr>
              <w:autoSpaceDE w:val="0"/>
              <w:autoSpaceDN w:val="0"/>
              <w:adjustRightInd w:val="0"/>
              <w:jc w:val="both"/>
              <w:rPr>
                <w:rFonts w:ascii="Arial" w:eastAsia="Cambria" w:hAnsi="Arial" w:cs="Arial"/>
                <w:sz w:val="22"/>
                <w:szCs w:val="22"/>
                <w:lang w:eastAsia="en-US"/>
              </w:rPr>
            </w:pPr>
            <w:r w:rsidRPr="00795143">
              <w:rPr>
                <w:rFonts w:ascii="Arial" w:eastAsia="SimSun" w:hAnsi="Arial" w:cs="Arial"/>
                <w:b/>
                <w:iCs/>
                <w:sz w:val="20"/>
                <w:szCs w:val="20"/>
              </w:rPr>
              <w:t>Proyecto de “Ley para Resguardar la Integridad en el Otorgamiento de Premios y Condecoraciones”</w:t>
            </w:r>
          </w:p>
        </w:tc>
        <w:tc>
          <w:tcPr>
            <w:tcW w:w="1984" w:type="dxa"/>
          </w:tcPr>
          <w:p w:rsidR="00795143" w:rsidRPr="00795143" w:rsidRDefault="00795143" w:rsidP="00795143">
            <w:pPr>
              <w:autoSpaceDE w:val="0"/>
              <w:autoSpaceDN w:val="0"/>
              <w:adjustRightInd w:val="0"/>
              <w:ind w:right="-91"/>
              <w:jc w:val="center"/>
              <w:rPr>
                <w:rFonts w:ascii="Arial" w:eastAsia="Cambria" w:hAnsi="Arial" w:cs="Arial"/>
                <w:sz w:val="22"/>
                <w:szCs w:val="22"/>
                <w:lang w:eastAsia="en-US"/>
              </w:rPr>
            </w:pPr>
            <w:r w:rsidRPr="00795143">
              <w:rPr>
                <w:rFonts w:ascii="Arial" w:eastAsia="Cambria" w:hAnsi="Arial" w:cs="Arial"/>
                <w:sz w:val="22"/>
                <w:szCs w:val="22"/>
                <w:lang w:eastAsia="en-US"/>
              </w:rPr>
              <w:t xml:space="preserve">Sí </w:t>
            </w:r>
          </w:p>
        </w:tc>
        <w:tc>
          <w:tcPr>
            <w:tcW w:w="3403" w:type="dxa"/>
          </w:tcPr>
          <w:p w:rsidR="00795143" w:rsidRPr="00795143" w:rsidRDefault="00795143" w:rsidP="00795143">
            <w:pPr>
              <w:autoSpaceDE w:val="0"/>
              <w:autoSpaceDN w:val="0"/>
              <w:adjustRightInd w:val="0"/>
              <w:ind w:right="-91"/>
              <w:rPr>
                <w:rFonts w:ascii="Arial" w:eastAsia="Cambria" w:hAnsi="Arial" w:cs="Arial"/>
                <w:b/>
                <w:i/>
                <w:sz w:val="22"/>
                <w:szCs w:val="22"/>
                <w:u w:val="single"/>
                <w:lang w:eastAsia="en-US"/>
              </w:rPr>
            </w:pPr>
            <w:r w:rsidRPr="00795143">
              <w:rPr>
                <w:rFonts w:ascii="Arial" w:eastAsia="Cambria" w:hAnsi="Arial" w:cs="Arial"/>
                <w:b/>
                <w:i/>
                <w:sz w:val="22"/>
                <w:szCs w:val="22"/>
                <w:u w:val="single"/>
                <w:lang w:eastAsia="en-US"/>
              </w:rPr>
              <w:t>Oficina de Asesoría Legal</w:t>
            </w:r>
          </w:p>
          <w:p w:rsidR="00795143" w:rsidRPr="00795143" w:rsidRDefault="00795143" w:rsidP="00795143">
            <w:pPr>
              <w:jc w:val="both"/>
              <w:rPr>
                <w:rFonts w:ascii="Arial" w:eastAsia="Cambria" w:hAnsi="Arial" w:cs="Arial"/>
                <w:b/>
                <w:i/>
                <w:sz w:val="22"/>
                <w:szCs w:val="22"/>
                <w:lang w:eastAsia="en-US"/>
              </w:rPr>
            </w:pPr>
          </w:p>
          <w:p w:rsidR="00795143" w:rsidRPr="00795143" w:rsidRDefault="00795143" w:rsidP="00795143">
            <w:pPr>
              <w:jc w:val="both"/>
              <w:rPr>
                <w:rFonts w:ascii="Arial" w:hAnsi="Arial" w:cs="Arial"/>
                <w:i/>
                <w:sz w:val="20"/>
                <w:szCs w:val="20"/>
              </w:rPr>
            </w:pPr>
            <w:r w:rsidRPr="00795143">
              <w:rPr>
                <w:rFonts w:ascii="Arial" w:eastAsia="Cambria" w:hAnsi="Arial" w:cs="Arial"/>
                <w:b/>
                <w:i/>
                <w:sz w:val="22"/>
                <w:szCs w:val="22"/>
                <w:lang w:eastAsia="en-US"/>
              </w:rPr>
              <w:t>“</w:t>
            </w:r>
            <w:r w:rsidRPr="00795143">
              <w:rPr>
                <w:rFonts w:ascii="Arial" w:hAnsi="Arial" w:cs="Arial"/>
                <w:i/>
                <w:sz w:val="20"/>
                <w:szCs w:val="20"/>
              </w:rPr>
              <w:t xml:space="preserve">A la luz de lo expuesto esta Asesoría Legal considera oportuno para la decisión del Consejo Institucional, realizar las siguientes observaciones </w:t>
            </w:r>
          </w:p>
          <w:p w:rsidR="00795143" w:rsidRPr="00795143" w:rsidRDefault="00795143" w:rsidP="00795143">
            <w:pPr>
              <w:jc w:val="both"/>
              <w:rPr>
                <w:rFonts w:ascii="Arial" w:hAnsi="Arial" w:cs="Arial"/>
                <w:b/>
                <w:i/>
                <w:sz w:val="20"/>
                <w:szCs w:val="20"/>
              </w:rPr>
            </w:pPr>
          </w:p>
          <w:p w:rsidR="00795143" w:rsidRPr="00795143" w:rsidRDefault="00795143" w:rsidP="00795143">
            <w:pPr>
              <w:numPr>
                <w:ilvl w:val="0"/>
                <w:numId w:val="18"/>
              </w:numPr>
              <w:ind w:left="284" w:hanging="284"/>
              <w:contextualSpacing/>
              <w:jc w:val="both"/>
              <w:rPr>
                <w:rFonts w:ascii="Arial" w:hAnsi="Arial" w:cs="Arial"/>
                <w:i/>
                <w:sz w:val="20"/>
                <w:szCs w:val="20"/>
              </w:rPr>
            </w:pPr>
            <w:r w:rsidRPr="00795143">
              <w:rPr>
                <w:rFonts w:ascii="Arial" w:hAnsi="Arial" w:cs="Arial"/>
                <w:i/>
                <w:sz w:val="20"/>
                <w:szCs w:val="20"/>
              </w:rPr>
              <w:t>De la lectura de la exposición de motivos pareciera que la iniciativa se circunscribe a ciertos de reconocimientos otorgados a nivel nacional.</w:t>
            </w:r>
          </w:p>
          <w:p w:rsidR="00795143" w:rsidRPr="00795143" w:rsidRDefault="00795143" w:rsidP="00795143">
            <w:pPr>
              <w:ind w:left="325"/>
              <w:jc w:val="both"/>
              <w:rPr>
                <w:rFonts w:ascii="Arial" w:hAnsi="Arial" w:cs="Arial"/>
                <w:i/>
                <w:sz w:val="20"/>
                <w:szCs w:val="20"/>
              </w:rPr>
            </w:pPr>
            <w:r w:rsidRPr="00795143">
              <w:rPr>
                <w:rFonts w:ascii="Arial" w:hAnsi="Arial" w:cs="Arial"/>
                <w:i/>
                <w:sz w:val="20"/>
                <w:szCs w:val="20"/>
              </w:rPr>
              <w:t>No obstante, El artículo 1 de la reforma señala el ámbito de aplicación el cual es amplio comprendiendo la totalidad de las instituciones del Estado, que otorguen premios galardones,</w:t>
            </w:r>
          </w:p>
          <w:p w:rsidR="00795143" w:rsidRPr="00795143" w:rsidRDefault="00795143" w:rsidP="00795143">
            <w:pPr>
              <w:ind w:left="325"/>
              <w:jc w:val="both"/>
              <w:rPr>
                <w:rFonts w:ascii="Arial" w:hAnsi="Arial" w:cs="Arial"/>
                <w:b/>
                <w:i/>
                <w:sz w:val="20"/>
                <w:szCs w:val="20"/>
              </w:rPr>
            </w:pPr>
            <w:r w:rsidRPr="00795143">
              <w:rPr>
                <w:rFonts w:ascii="Arial" w:hAnsi="Arial" w:cs="Arial"/>
                <w:i/>
                <w:sz w:val="20"/>
                <w:szCs w:val="20"/>
              </w:rPr>
              <w:lastRenderedPageBreak/>
              <w:t xml:space="preserve">honores, </w:t>
            </w:r>
            <w:r w:rsidRPr="00795143">
              <w:rPr>
                <w:rFonts w:ascii="Arial" w:hAnsi="Arial" w:cs="Arial"/>
                <w:b/>
                <w:i/>
                <w:sz w:val="20"/>
                <w:szCs w:val="20"/>
              </w:rPr>
              <w:t>o distinciones o cualesquiera similares,</w:t>
            </w:r>
            <w:r w:rsidRPr="00795143">
              <w:rPr>
                <w:rFonts w:ascii="Arial" w:hAnsi="Arial" w:cs="Arial"/>
                <w:b/>
                <w:i/>
                <w:sz w:val="20"/>
                <w:szCs w:val="20"/>
                <w:lang w:eastAsia="es-CR"/>
              </w:rPr>
              <w:t xml:space="preserve"> a personas físicas por su trayectoria cultural, científica, tecnológica, deportiva o de cualquier otra índole,” </w:t>
            </w:r>
            <w:r w:rsidRPr="00795143">
              <w:rPr>
                <w:rFonts w:ascii="Arial" w:hAnsi="Arial" w:cs="Arial"/>
                <w:i/>
                <w:sz w:val="20"/>
                <w:szCs w:val="20"/>
                <w:lang w:eastAsia="es-CR"/>
              </w:rPr>
              <w:t>(el destacado no es del original).</w:t>
            </w:r>
          </w:p>
          <w:p w:rsidR="00795143" w:rsidRPr="00795143" w:rsidRDefault="00795143" w:rsidP="00795143">
            <w:pPr>
              <w:numPr>
                <w:ilvl w:val="0"/>
                <w:numId w:val="18"/>
              </w:numPr>
              <w:ind w:left="284" w:hanging="284"/>
              <w:contextualSpacing/>
              <w:jc w:val="both"/>
              <w:rPr>
                <w:rFonts w:ascii="Arial" w:hAnsi="Arial" w:cs="Arial"/>
                <w:i/>
                <w:sz w:val="20"/>
                <w:szCs w:val="20"/>
              </w:rPr>
            </w:pPr>
            <w:r w:rsidRPr="00795143">
              <w:rPr>
                <w:rFonts w:ascii="Arial" w:hAnsi="Arial" w:cs="Arial"/>
                <w:i/>
                <w:sz w:val="20"/>
                <w:szCs w:val="20"/>
                <w:lang w:eastAsia="es-CR"/>
              </w:rPr>
              <w:t xml:space="preserve">Como quedó demostrado el Instituto Tecnológico ha sido objeto de varios reconocimientos ya sea como institución, a título personal como es el caso de los investigadores, estudiantes entre otros. </w:t>
            </w:r>
          </w:p>
          <w:p w:rsidR="00795143" w:rsidRPr="00795143" w:rsidRDefault="00795143" w:rsidP="00795143">
            <w:pPr>
              <w:numPr>
                <w:ilvl w:val="0"/>
                <w:numId w:val="18"/>
              </w:numPr>
              <w:ind w:left="284" w:hanging="284"/>
              <w:contextualSpacing/>
              <w:jc w:val="both"/>
              <w:rPr>
                <w:rFonts w:ascii="Arial" w:hAnsi="Arial" w:cs="Arial"/>
                <w:i/>
                <w:sz w:val="20"/>
                <w:szCs w:val="20"/>
              </w:rPr>
            </w:pPr>
            <w:r w:rsidRPr="00795143">
              <w:rPr>
                <w:rFonts w:ascii="Arial" w:hAnsi="Arial" w:cs="Arial"/>
                <w:i/>
                <w:sz w:val="20"/>
                <w:szCs w:val="20"/>
              </w:rPr>
              <w:t xml:space="preserve">El artículo 1 de referencia indica el tipo de reconocimientos e inmediatamente amplía </w:t>
            </w:r>
            <w:r w:rsidRPr="00795143">
              <w:rPr>
                <w:rFonts w:ascii="Arial" w:hAnsi="Arial" w:cs="Arial"/>
                <w:b/>
                <w:i/>
                <w:sz w:val="20"/>
                <w:szCs w:val="20"/>
              </w:rPr>
              <w:t>a cualquier otro similar</w:t>
            </w:r>
            <w:r w:rsidRPr="00795143">
              <w:rPr>
                <w:rFonts w:ascii="Arial" w:hAnsi="Arial" w:cs="Arial"/>
                <w:i/>
                <w:sz w:val="20"/>
                <w:szCs w:val="20"/>
              </w:rPr>
              <w:t xml:space="preserve"> por su trayectoria cultural, científica, tecnológica o </w:t>
            </w:r>
            <w:r w:rsidRPr="00795143">
              <w:rPr>
                <w:rFonts w:ascii="Arial" w:hAnsi="Arial" w:cs="Arial"/>
                <w:b/>
                <w:i/>
                <w:sz w:val="20"/>
                <w:szCs w:val="20"/>
              </w:rPr>
              <w:t>de cualquier otra índole</w:t>
            </w:r>
            <w:r w:rsidRPr="00795143">
              <w:rPr>
                <w:rFonts w:ascii="Arial" w:hAnsi="Arial" w:cs="Arial"/>
                <w:i/>
                <w:sz w:val="20"/>
                <w:szCs w:val="20"/>
              </w:rPr>
              <w:t xml:space="preserve">, siendo estos términos de naturaleza jurídicos indeterminados, que pueden llevar a una confusión en su aplicación, no cumpliéndose con los principios de claridad y certeza jurídica que debe tener toda normativa. Estos principios que dan seguridad jurídica son de suma importancia al momento de aprobar una ley no solo en el sentido práctico, sino porque la falta de claridad puede obligar a una interpretación auténtica la cual es competencia exclusiva del Poder Legislativo, con las implicaciones que conlleva todo el trámite establecido para tal efecto. </w:t>
            </w:r>
          </w:p>
          <w:p w:rsidR="00795143" w:rsidRPr="00795143" w:rsidRDefault="00795143" w:rsidP="00795143">
            <w:pPr>
              <w:numPr>
                <w:ilvl w:val="0"/>
                <w:numId w:val="18"/>
              </w:numPr>
              <w:spacing w:before="100" w:beforeAutospacing="1" w:after="100" w:afterAutospacing="1"/>
              <w:ind w:left="284" w:hanging="284"/>
              <w:contextualSpacing/>
              <w:jc w:val="both"/>
              <w:rPr>
                <w:rFonts w:ascii="Arial" w:hAnsi="Arial" w:cs="Arial"/>
                <w:i/>
                <w:sz w:val="20"/>
                <w:szCs w:val="20"/>
              </w:rPr>
            </w:pPr>
            <w:r w:rsidRPr="00795143">
              <w:rPr>
                <w:rFonts w:ascii="Arial" w:hAnsi="Arial" w:cs="Arial"/>
                <w:i/>
                <w:sz w:val="20"/>
                <w:szCs w:val="20"/>
              </w:rPr>
              <w:t>Las situaciones indicadas en el punto anterior, lleva a interrogantes tales  como : “¿sí este texto se convirtiera en Ley de la República puede afectar reconocimientos internos, como lo son graduaciones de honor, becas de honor,</w:t>
            </w:r>
            <w:r w:rsidRPr="00795143">
              <w:rPr>
                <w:rFonts w:ascii="Arial" w:hAnsi="Arial" w:cs="Arial"/>
                <w:i/>
                <w:color w:val="111111"/>
                <w:sz w:val="20"/>
                <w:szCs w:val="20"/>
                <w:lang w:eastAsia="es-CR"/>
              </w:rPr>
              <w:t xml:space="preserve"> becas por participación especial en actividades culturales, deportivas o de representación estudiantil?”- A pesar que las becas no son un galardón o un premio como el de Aquileo Echeverría, ante la generalidad y apertura de la norma indicada del artículo 1, podría surgir la duda sobre su alcance y aplicación.</w:t>
            </w:r>
          </w:p>
          <w:p w:rsidR="00795143" w:rsidRPr="00795143" w:rsidRDefault="00795143" w:rsidP="00795143">
            <w:pPr>
              <w:numPr>
                <w:ilvl w:val="0"/>
                <w:numId w:val="18"/>
              </w:numPr>
              <w:spacing w:before="100" w:beforeAutospacing="1" w:after="100" w:afterAutospacing="1"/>
              <w:ind w:left="284" w:hanging="284"/>
              <w:contextualSpacing/>
              <w:jc w:val="both"/>
              <w:outlineLvl w:val="2"/>
              <w:rPr>
                <w:rFonts w:ascii="Arial" w:hAnsi="Arial" w:cs="Arial"/>
                <w:i/>
                <w:sz w:val="20"/>
                <w:szCs w:val="20"/>
              </w:rPr>
            </w:pPr>
            <w:r w:rsidRPr="00795143">
              <w:rPr>
                <w:rFonts w:ascii="Arial" w:hAnsi="Arial" w:cs="Arial"/>
                <w:i/>
                <w:color w:val="111111"/>
                <w:sz w:val="20"/>
                <w:szCs w:val="20"/>
                <w:lang w:eastAsia="es-CR"/>
              </w:rPr>
              <w:t xml:space="preserve">El inciso b) del artículo 1 señala la obligación de las instituciones </w:t>
            </w:r>
            <w:r w:rsidRPr="00795143">
              <w:rPr>
                <w:rFonts w:ascii="Arial" w:hAnsi="Arial" w:cs="Arial"/>
                <w:i/>
                <w:color w:val="111111"/>
                <w:sz w:val="20"/>
                <w:szCs w:val="20"/>
                <w:lang w:eastAsia="es-CR"/>
              </w:rPr>
              <w:lastRenderedPageBreak/>
              <w:t>del Estado que otorgan los premios, galardones establecidas de; “</w:t>
            </w:r>
            <w:r w:rsidRPr="00795143">
              <w:rPr>
                <w:rFonts w:ascii="Arial" w:hAnsi="Arial" w:cs="Arial"/>
                <w:i/>
                <w:sz w:val="20"/>
                <w:szCs w:val="20"/>
                <w:lang w:val="es-MX" w:eastAsia="es-MX"/>
              </w:rPr>
              <w:t>Retirar dichos reconocimientos a la persona galardonada que, mediante sentencia judicial firme, sea declarada culpable de cometer algún delito sexual contenido en el Código Penal o en leyes especiales.”  Ahora bien, bajo el supuesto que alguna de estas personas fueran funcionarias de la institución y haya obtenido el reconocimiento de los mismos bajo el amparo del</w:t>
            </w:r>
            <w:r w:rsidRPr="00795143">
              <w:rPr>
                <w:rFonts w:ascii="Arial" w:hAnsi="Arial" w:cs="Arial"/>
                <w:i/>
                <w:sz w:val="20"/>
                <w:szCs w:val="20"/>
              </w:rPr>
              <w:t xml:space="preserve"> Reglamento de carrera profesional y del Reglamento del sistema de Escalafón de carrera administrativa y de apoyo a la academia, considerando derechos laborales y patrimoniales como lo es un aumento en el pago de salario por ese rubro.  Bajo este supuesto la institución se vería obligada a realizar cambios a nivel administrativo y de organización institucional.  De ser así estaríamos ante una afectación derivada o colateral a la autonomía universitaria por lo que este punto específico si podría considerarse como una amenaza a la autonomía universitaria y la necesidad de clarificar algunos términos, como se ha señalado línea atrás, ello a pesar que se comparta la intencionalidad del proyecto.</w:t>
            </w:r>
          </w:p>
          <w:p w:rsidR="00795143" w:rsidRPr="00795143" w:rsidRDefault="00795143" w:rsidP="00795143">
            <w:pPr>
              <w:numPr>
                <w:ilvl w:val="0"/>
                <w:numId w:val="18"/>
              </w:numPr>
              <w:spacing w:before="100" w:beforeAutospacing="1" w:after="100" w:afterAutospacing="1"/>
              <w:ind w:left="284" w:hanging="284"/>
              <w:contextualSpacing/>
              <w:jc w:val="both"/>
              <w:outlineLvl w:val="2"/>
              <w:rPr>
                <w:rFonts w:ascii="Arial" w:hAnsi="Arial" w:cs="Arial"/>
                <w:i/>
                <w:color w:val="111111"/>
                <w:sz w:val="20"/>
                <w:szCs w:val="20"/>
                <w:lang w:eastAsia="es-CR"/>
              </w:rPr>
            </w:pPr>
            <w:r w:rsidRPr="00795143">
              <w:rPr>
                <w:rFonts w:ascii="Arial" w:hAnsi="Arial" w:cs="Arial"/>
                <w:i/>
                <w:color w:val="111111"/>
                <w:sz w:val="20"/>
                <w:szCs w:val="20"/>
                <w:lang w:eastAsia="es-CR"/>
              </w:rPr>
              <w:t>S</w:t>
            </w:r>
            <w:r w:rsidRPr="00795143">
              <w:rPr>
                <w:rFonts w:ascii="Arial" w:hAnsi="Arial" w:cs="Arial"/>
                <w:i/>
                <w:iCs/>
                <w:color w:val="111111"/>
                <w:sz w:val="20"/>
                <w:szCs w:val="20"/>
                <w:lang w:eastAsia="es-CR"/>
              </w:rPr>
              <w:t>e indica que este dictamen no es vinculante, dada las facultades de decisión que ostenta y ejerce el Consejo Institucional.”</w:t>
            </w:r>
          </w:p>
          <w:p w:rsidR="00795143" w:rsidRPr="00795143" w:rsidRDefault="00795143" w:rsidP="00795143">
            <w:pPr>
              <w:autoSpaceDE w:val="0"/>
              <w:autoSpaceDN w:val="0"/>
              <w:adjustRightInd w:val="0"/>
              <w:ind w:right="-91"/>
              <w:rPr>
                <w:rFonts w:ascii="Arial" w:eastAsia="Cambria" w:hAnsi="Arial" w:cs="Arial"/>
                <w:b/>
                <w:i/>
                <w:sz w:val="22"/>
                <w:szCs w:val="22"/>
                <w:u w:val="single"/>
                <w:lang w:eastAsia="en-US"/>
              </w:rPr>
            </w:pPr>
          </w:p>
          <w:p w:rsidR="00795143" w:rsidRPr="00795143" w:rsidRDefault="00795143" w:rsidP="00795143">
            <w:pPr>
              <w:autoSpaceDE w:val="0"/>
              <w:autoSpaceDN w:val="0"/>
              <w:adjustRightInd w:val="0"/>
              <w:ind w:right="-91"/>
              <w:rPr>
                <w:rFonts w:ascii="Arial" w:eastAsia="Cambria" w:hAnsi="Arial" w:cs="Arial"/>
                <w:b/>
                <w:i/>
                <w:sz w:val="22"/>
                <w:szCs w:val="22"/>
                <w:u w:val="single"/>
                <w:lang w:eastAsia="en-US"/>
              </w:rPr>
            </w:pPr>
            <w:r w:rsidRPr="00795143">
              <w:rPr>
                <w:rFonts w:ascii="Arial" w:eastAsia="Cambria" w:hAnsi="Arial" w:cs="Arial"/>
                <w:b/>
                <w:i/>
                <w:sz w:val="22"/>
                <w:szCs w:val="22"/>
                <w:u w:val="single"/>
                <w:lang w:eastAsia="en-US"/>
              </w:rPr>
              <w:t>Escuela de Cultura y Deporte</w:t>
            </w:r>
          </w:p>
          <w:p w:rsidR="00795143" w:rsidRPr="00795143" w:rsidRDefault="00795143" w:rsidP="00795143">
            <w:pPr>
              <w:jc w:val="both"/>
              <w:rPr>
                <w:rFonts w:ascii="Arial" w:eastAsia="Cambria" w:hAnsi="Arial" w:cs="Arial"/>
                <w:b/>
                <w:i/>
                <w:sz w:val="22"/>
                <w:szCs w:val="22"/>
                <w:lang w:eastAsia="en-US"/>
              </w:rPr>
            </w:pPr>
          </w:p>
          <w:p w:rsidR="00795143" w:rsidRPr="00795143" w:rsidRDefault="00795143" w:rsidP="00795143">
            <w:pPr>
              <w:autoSpaceDE w:val="0"/>
              <w:autoSpaceDN w:val="0"/>
              <w:adjustRightInd w:val="0"/>
              <w:jc w:val="both"/>
              <w:rPr>
                <w:rFonts w:ascii="Arial" w:eastAsiaTheme="minorHAnsi" w:hAnsi="Arial" w:cs="Arial"/>
                <w:i/>
                <w:color w:val="000000"/>
                <w:sz w:val="22"/>
                <w:szCs w:val="22"/>
                <w:lang w:eastAsia="en-US"/>
              </w:rPr>
            </w:pPr>
            <w:r w:rsidRPr="00795143">
              <w:rPr>
                <w:rFonts w:ascii="Arial" w:eastAsia="Cambria" w:hAnsi="Arial" w:cs="Arial"/>
                <w:b/>
                <w:i/>
                <w:color w:val="000000"/>
                <w:sz w:val="22"/>
                <w:szCs w:val="22"/>
                <w:lang w:eastAsia="en-US"/>
              </w:rPr>
              <w:t>“</w:t>
            </w:r>
            <w:r w:rsidRPr="00795143">
              <w:rPr>
                <w:rFonts w:ascii="Arial" w:eastAsiaTheme="minorHAnsi" w:hAnsi="Arial" w:cs="Arial"/>
                <w:b/>
                <w:bCs/>
                <w:i/>
                <w:color w:val="000000"/>
                <w:sz w:val="22"/>
                <w:szCs w:val="22"/>
                <w:lang w:eastAsia="en-US"/>
              </w:rPr>
              <w:t xml:space="preserve">1. Observaciones </w:t>
            </w:r>
          </w:p>
          <w:p w:rsidR="00795143" w:rsidRPr="00795143" w:rsidRDefault="00795143" w:rsidP="00795143">
            <w:pPr>
              <w:autoSpaceDE w:val="0"/>
              <w:autoSpaceDN w:val="0"/>
              <w:adjustRightInd w:val="0"/>
              <w:jc w:val="both"/>
              <w:rPr>
                <w:rFonts w:ascii="Arial" w:eastAsiaTheme="minorHAnsi" w:hAnsi="Arial" w:cs="Arial"/>
                <w:i/>
                <w:color w:val="000000"/>
                <w:sz w:val="22"/>
                <w:szCs w:val="22"/>
                <w:lang w:eastAsia="en-US"/>
              </w:rPr>
            </w:pPr>
          </w:p>
          <w:p w:rsidR="00795143" w:rsidRPr="00795143" w:rsidRDefault="00795143" w:rsidP="00795143">
            <w:pPr>
              <w:autoSpaceDE w:val="0"/>
              <w:autoSpaceDN w:val="0"/>
              <w:adjustRightInd w:val="0"/>
              <w:ind w:left="325" w:hanging="283"/>
              <w:jc w:val="both"/>
              <w:rPr>
                <w:rFonts w:ascii="Arial" w:hAnsi="Arial" w:cs="Arial"/>
                <w:i/>
                <w:sz w:val="20"/>
                <w:szCs w:val="20"/>
              </w:rPr>
            </w:pPr>
            <w:r w:rsidRPr="00795143">
              <w:rPr>
                <w:rFonts w:ascii="Arial" w:eastAsiaTheme="minorHAnsi" w:hAnsi="Arial" w:cs="Arial"/>
                <w:i/>
                <w:color w:val="000000"/>
                <w:sz w:val="22"/>
                <w:szCs w:val="22"/>
                <w:lang w:eastAsia="en-US"/>
              </w:rPr>
              <w:t xml:space="preserve">a. </w:t>
            </w:r>
            <w:r w:rsidRPr="00795143">
              <w:rPr>
                <w:rFonts w:ascii="Arial" w:hAnsi="Arial" w:cs="Arial"/>
                <w:i/>
                <w:sz w:val="20"/>
                <w:szCs w:val="20"/>
              </w:rPr>
              <w:t xml:space="preserve">Que se consideren otros delitos a las leyes nacionales y no solo los delitos sexuales. </w:t>
            </w:r>
          </w:p>
          <w:p w:rsidR="00795143" w:rsidRPr="00795143" w:rsidRDefault="00795143" w:rsidP="00795143">
            <w:pPr>
              <w:autoSpaceDE w:val="0"/>
              <w:autoSpaceDN w:val="0"/>
              <w:adjustRightInd w:val="0"/>
              <w:ind w:left="325" w:hanging="283"/>
              <w:jc w:val="both"/>
              <w:rPr>
                <w:rFonts w:ascii="Arial" w:hAnsi="Arial" w:cs="Arial"/>
                <w:i/>
                <w:sz w:val="20"/>
                <w:szCs w:val="20"/>
              </w:rPr>
            </w:pPr>
            <w:r w:rsidRPr="00795143">
              <w:rPr>
                <w:rFonts w:ascii="Arial" w:hAnsi="Arial" w:cs="Arial"/>
                <w:i/>
                <w:sz w:val="20"/>
                <w:szCs w:val="20"/>
              </w:rPr>
              <w:t xml:space="preserve">b. En el primer párrafo del documento, hace referencia al Deporte, sin embargo, al mencionar los premios ninguno está vinculado a deporte. Sería muy importante validar los premios que se otorgan en dicha </w:t>
            </w:r>
            <w:r w:rsidRPr="00795143">
              <w:rPr>
                <w:rFonts w:ascii="Arial" w:hAnsi="Arial" w:cs="Arial"/>
                <w:i/>
                <w:sz w:val="20"/>
                <w:szCs w:val="20"/>
              </w:rPr>
              <w:lastRenderedPageBreak/>
              <w:t xml:space="preserve">área ya sea por performance deportivo, nacional o internacional. </w:t>
            </w:r>
          </w:p>
          <w:p w:rsidR="00795143" w:rsidRPr="00795143" w:rsidRDefault="00795143" w:rsidP="00795143">
            <w:pPr>
              <w:autoSpaceDE w:val="0"/>
              <w:autoSpaceDN w:val="0"/>
              <w:adjustRightInd w:val="0"/>
              <w:ind w:left="325" w:hanging="283"/>
              <w:jc w:val="both"/>
              <w:rPr>
                <w:rFonts w:ascii="Arial" w:eastAsiaTheme="minorHAnsi" w:hAnsi="Arial" w:cs="Arial"/>
                <w:i/>
                <w:color w:val="000000"/>
                <w:sz w:val="22"/>
                <w:szCs w:val="22"/>
                <w:lang w:eastAsia="en-US"/>
              </w:rPr>
            </w:pPr>
            <w:r w:rsidRPr="00795143">
              <w:rPr>
                <w:rFonts w:ascii="Arial" w:hAnsi="Arial" w:cs="Arial"/>
                <w:i/>
                <w:sz w:val="20"/>
                <w:szCs w:val="20"/>
              </w:rPr>
              <w:t>c. Que exista una comisión a lo interno de la organización que verifique los atestados de los postulantes integralmente</w:t>
            </w:r>
            <w:r w:rsidRPr="00795143">
              <w:rPr>
                <w:rFonts w:ascii="Arial" w:eastAsiaTheme="minorHAnsi" w:hAnsi="Arial" w:cs="Arial"/>
                <w:i/>
                <w:color w:val="000000"/>
                <w:sz w:val="22"/>
                <w:szCs w:val="22"/>
                <w:lang w:eastAsia="en-US"/>
              </w:rPr>
              <w:t xml:space="preserve">.” </w:t>
            </w:r>
          </w:p>
          <w:p w:rsidR="00795143" w:rsidRPr="00795143" w:rsidRDefault="00795143" w:rsidP="00795143">
            <w:pPr>
              <w:autoSpaceDE w:val="0"/>
              <w:autoSpaceDN w:val="0"/>
              <w:adjustRightInd w:val="0"/>
              <w:jc w:val="both"/>
              <w:rPr>
                <w:rFonts w:ascii="Arial" w:eastAsiaTheme="minorHAnsi" w:hAnsi="Arial" w:cs="Arial"/>
                <w:i/>
                <w:color w:val="000000"/>
                <w:sz w:val="22"/>
                <w:szCs w:val="22"/>
                <w:lang w:eastAsia="en-US"/>
              </w:rPr>
            </w:pPr>
          </w:p>
          <w:p w:rsidR="00795143" w:rsidRPr="00795143" w:rsidRDefault="00795143" w:rsidP="00795143">
            <w:pPr>
              <w:autoSpaceDE w:val="0"/>
              <w:autoSpaceDN w:val="0"/>
              <w:adjustRightInd w:val="0"/>
              <w:jc w:val="both"/>
              <w:rPr>
                <w:rFonts w:ascii="Arial" w:eastAsiaTheme="minorHAnsi" w:hAnsi="Arial" w:cs="Arial"/>
                <w:i/>
                <w:color w:val="000000"/>
                <w:sz w:val="22"/>
                <w:szCs w:val="22"/>
                <w:lang w:eastAsia="en-US"/>
              </w:rPr>
            </w:pPr>
            <w:r w:rsidRPr="00795143">
              <w:rPr>
                <w:rFonts w:ascii="Arial" w:eastAsiaTheme="minorHAnsi" w:hAnsi="Arial" w:cs="Arial"/>
                <w:b/>
                <w:bCs/>
                <w:i/>
                <w:color w:val="000000"/>
                <w:sz w:val="22"/>
                <w:szCs w:val="22"/>
                <w:lang w:eastAsia="en-US"/>
              </w:rPr>
              <w:t xml:space="preserve">2. Indicar si apoya o no el Proyecto y las razones que justifican no apoyarlo </w:t>
            </w:r>
          </w:p>
          <w:p w:rsidR="00795143" w:rsidRPr="00795143" w:rsidRDefault="00795143" w:rsidP="00795143">
            <w:pPr>
              <w:autoSpaceDE w:val="0"/>
              <w:autoSpaceDN w:val="0"/>
              <w:adjustRightInd w:val="0"/>
              <w:ind w:left="325"/>
              <w:jc w:val="both"/>
              <w:rPr>
                <w:i/>
                <w:sz w:val="20"/>
                <w:szCs w:val="20"/>
              </w:rPr>
            </w:pPr>
            <w:r w:rsidRPr="00795143">
              <w:rPr>
                <w:rFonts w:ascii="Arial" w:hAnsi="Arial" w:cs="Arial"/>
                <w:i/>
                <w:sz w:val="20"/>
                <w:szCs w:val="20"/>
              </w:rPr>
              <w:t>“Desde la Escuela se apoya el proyecto, pues es pertinente y de paso congruente con su naturaleza de reconocimiento, pero siempre y en el tanto sea más integral en cuanto a faltas a las leyes que sean parámetros de exclusión de ser o no candidatos o candidatas a dichos reconocimientos.”</w:t>
            </w:r>
          </w:p>
          <w:p w:rsidR="00795143" w:rsidRPr="00795143" w:rsidRDefault="00795143" w:rsidP="00795143">
            <w:pPr>
              <w:jc w:val="both"/>
              <w:rPr>
                <w:rFonts w:ascii="Arial" w:hAnsi="Arial" w:cs="Arial"/>
                <w:i/>
                <w:sz w:val="22"/>
                <w:szCs w:val="22"/>
              </w:rPr>
            </w:pPr>
          </w:p>
        </w:tc>
      </w:tr>
    </w:tbl>
    <w:p w:rsidR="00795143" w:rsidRPr="00795143" w:rsidRDefault="00795143" w:rsidP="00795143">
      <w:pPr>
        <w:autoSpaceDE w:val="0"/>
        <w:autoSpaceDN w:val="0"/>
        <w:adjustRightInd w:val="0"/>
        <w:ind w:right="-91"/>
        <w:jc w:val="both"/>
        <w:rPr>
          <w:rFonts w:ascii="Arial" w:eastAsia="Cambria" w:hAnsi="Arial" w:cs="Arial"/>
          <w:sz w:val="22"/>
          <w:szCs w:val="22"/>
          <w:u w:val="single"/>
          <w:lang w:val="es-CR" w:eastAsia="en-US"/>
        </w:rPr>
      </w:pPr>
    </w:p>
    <w:p w:rsidR="00771F15" w:rsidRDefault="00771F15" w:rsidP="007742A1">
      <w:pPr>
        <w:jc w:val="both"/>
        <w:rPr>
          <w:rFonts w:ascii="Arial" w:eastAsia="Cambria" w:hAnsi="Arial" w:cs="Arial"/>
          <w:lang w:val="es-ES_tradnl" w:eastAsia="en-US"/>
        </w:rPr>
      </w:pPr>
    </w:p>
    <w:p w:rsidR="00917157" w:rsidRPr="00795143" w:rsidRDefault="000E564F" w:rsidP="00795143">
      <w:pPr>
        <w:numPr>
          <w:ilvl w:val="0"/>
          <w:numId w:val="10"/>
        </w:numPr>
        <w:ind w:left="426" w:hanging="426"/>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795143" w:rsidRDefault="00795143" w:rsidP="00795143">
      <w:pPr>
        <w:contextualSpacing/>
        <w:jc w:val="both"/>
        <w:rPr>
          <w:rFonts w:ascii="Arial" w:hAnsi="Arial" w:cs="Arial"/>
          <w:b/>
          <w:lang w:val="es-CR"/>
        </w:rPr>
      </w:pPr>
    </w:p>
    <w:p w:rsidR="00795143" w:rsidRPr="008841D4" w:rsidRDefault="00795143" w:rsidP="00795143">
      <w:pPr>
        <w:contextualSpacing/>
        <w:jc w:val="both"/>
        <w:rPr>
          <w:rFonts w:ascii="Arial" w:hAnsi="Arial" w:cs="Arial"/>
        </w:rPr>
      </w:pPr>
    </w:p>
    <w:p w:rsidR="00795143" w:rsidRDefault="00795143" w:rsidP="00795143">
      <w:pPr>
        <w:autoSpaceDE w:val="0"/>
        <w:autoSpaceDN w:val="0"/>
        <w:adjustRightInd w:val="0"/>
        <w:ind w:right="-91"/>
        <w:jc w:val="both"/>
        <w:rPr>
          <w:rFonts w:ascii="Arial" w:hAnsi="Arial" w:cs="Arial"/>
          <w:sz w:val="22"/>
          <w:szCs w:val="22"/>
          <w:lang w:val="es-CR"/>
        </w:rPr>
      </w:pPr>
      <w:r w:rsidRPr="00795143">
        <w:rPr>
          <w:rFonts w:ascii="Arial" w:hAnsi="Arial" w:cs="Arial"/>
          <w:b/>
          <w:sz w:val="22"/>
          <w:szCs w:val="22"/>
          <w:lang w:val="es-CR"/>
        </w:rPr>
        <w:t xml:space="preserve">PALABRAS CLAVE:   </w:t>
      </w:r>
      <w:r w:rsidRPr="00795143">
        <w:rPr>
          <w:rFonts w:ascii="Arial" w:hAnsi="Arial" w:cs="Arial"/>
          <w:sz w:val="22"/>
          <w:szCs w:val="22"/>
          <w:lang w:val="es-CR"/>
        </w:rPr>
        <w:t xml:space="preserve">Proyectos – Ley- </w:t>
      </w:r>
      <w:proofErr w:type="spellStart"/>
      <w:r w:rsidRPr="00795143">
        <w:rPr>
          <w:rFonts w:ascii="Arial" w:hAnsi="Arial" w:cs="Arial"/>
          <w:sz w:val="22"/>
          <w:szCs w:val="22"/>
          <w:lang w:val="es-CR"/>
        </w:rPr>
        <w:t>Exps</w:t>
      </w:r>
      <w:proofErr w:type="spellEnd"/>
      <w:r w:rsidRPr="00795143">
        <w:rPr>
          <w:rFonts w:ascii="Arial" w:hAnsi="Arial" w:cs="Arial"/>
          <w:sz w:val="22"/>
          <w:szCs w:val="22"/>
          <w:lang w:val="es-CR"/>
        </w:rPr>
        <w:t>. - 21.149, 21.277 y 21.329</w:t>
      </w:r>
    </w:p>
    <w:p w:rsidR="00795143" w:rsidRDefault="00795143" w:rsidP="00795143">
      <w:pPr>
        <w:autoSpaceDE w:val="0"/>
        <w:autoSpaceDN w:val="0"/>
        <w:adjustRightInd w:val="0"/>
        <w:ind w:right="-91"/>
        <w:jc w:val="both"/>
        <w:rPr>
          <w:rFonts w:ascii="Arial" w:hAnsi="Arial" w:cs="Arial"/>
          <w:sz w:val="22"/>
          <w:szCs w:val="22"/>
          <w:lang w:val="es-CR"/>
        </w:rPr>
      </w:pPr>
    </w:p>
    <w:p w:rsidR="00795143" w:rsidRDefault="00795143" w:rsidP="00795143">
      <w:pPr>
        <w:autoSpaceDE w:val="0"/>
        <w:autoSpaceDN w:val="0"/>
        <w:adjustRightInd w:val="0"/>
        <w:ind w:right="-91"/>
        <w:jc w:val="both"/>
        <w:rPr>
          <w:rFonts w:ascii="Arial" w:hAnsi="Arial" w:cs="Arial"/>
          <w:sz w:val="22"/>
          <w:szCs w:val="22"/>
          <w:lang w:val="es-CR"/>
        </w:rPr>
      </w:pPr>
    </w:p>
    <w:p w:rsidR="00795143" w:rsidRPr="00795143" w:rsidRDefault="00795143" w:rsidP="00795143">
      <w:pPr>
        <w:autoSpaceDE w:val="0"/>
        <w:autoSpaceDN w:val="0"/>
        <w:adjustRightInd w:val="0"/>
        <w:ind w:right="-91"/>
        <w:jc w:val="both"/>
        <w:rPr>
          <w:rFonts w:ascii="Arial" w:hAnsi="Arial" w:cs="Arial"/>
          <w:b/>
          <w:sz w:val="22"/>
          <w:szCs w:val="22"/>
          <w:lang w:val="es-CR"/>
        </w:rPr>
      </w:pPr>
      <w:r>
        <w:rPr>
          <w:rFonts w:ascii="Arial" w:hAnsi="Arial" w:cs="Arial"/>
          <w:sz w:val="22"/>
          <w:szCs w:val="22"/>
          <w:lang w:val="es-CR"/>
        </w:rPr>
        <w:t>Anexos</w:t>
      </w:r>
    </w:p>
    <w:p w:rsidR="00795143" w:rsidRPr="00795143" w:rsidRDefault="00795143" w:rsidP="00795143">
      <w:pPr>
        <w:jc w:val="both"/>
        <w:rPr>
          <w:rFonts w:ascii="Arial" w:hAnsi="Arial" w:cs="Arial"/>
          <w:sz w:val="22"/>
          <w:szCs w:val="22"/>
          <w:lang w:val="es-CR"/>
        </w:rPr>
      </w:pPr>
    </w:p>
    <w:p w:rsidR="008841D4" w:rsidRDefault="008841D4" w:rsidP="008841D4">
      <w:pPr>
        <w:contextualSpacing/>
        <w:jc w:val="both"/>
        <w:rPr>
          <w:rFonts w:ascii="Arial" w:hAnsi="Arial" w:cs="Arial"/>
          <w:b/>
          <w:lang w:val="es-CR"/>
        </w:rPr>
      </w:pPr>
    </w:p>
    <w:tbl>
      <w:tblPr>
        <w:tblStyle w:val="Tablaconcuadrcula16"/>
        <w:tblW w:w="10343" w:type="dxa"/>
        <w:tblLook w:val="04A0" w:firstRow="1" w:lastRow="0" w:firstColumn="1" w:lastColumn="0" w:noHBand="0" w:noVBand="1"/>
      </w:tblPr>
      <w:tblGrid>
        <w:gridCol w:w="889"/>
        <w:gridCol w:w="9454"/>
      </w:tblGrid>
      <w:tr w:rsidR="00795143" w:rsidRPr="00795143" w:rsidTr="00B20B79">
        <w:tc>
          <w:tcPr>
            <w:tcW w:w="889" w:type="dxa"/>
          </w:tcPr>
          <w:p w:rsidR="00795143" w:rsidRPr="00795143" w:rsidRDefault="00795143" w:rsidP="00795143">
            <w:pPr>
              <w:rPr>
                <w:rFonts w:ascii="Arial" w:hAnsi="Arial" w:cs="Arial"/>
                <w:b/>
                <w:sz w:val="16"/>
                <w:szCs w:val="16"/>
                <w:lang w:val="pt-BR"/>
              </w:rPr>
            </w:pPr>
            <w:r w:rsidRPr="00795143">
              <w:rPr>
                <w:rFonts w:ascii="Arial" w:hAnsi="Arial" w:cs="Arial"/>
                <w:b/>
                <w:sz w:val="22"/>
                <w:szCs w:val="22"/>
              </w:rPr>
              <w:t>21.149</w:t>
            </w:r>
          </w:p>
        </w:tc>
        <w:bookmarkStart w:id="1" w:name="_MON_1628403627"/>
        <w:bookmarkEnd w:id="1"/>
        <w:tc>
          <w:tcPr>
            <w:tcW w:w="9454" w:type="dxa"/>
          </w:tcPr>
          <w:p w:rsidR="00795143" w:rsidRPr="00795143" w:rsidRDefault="00795143" w:rsidP="00795143">
            <w:pPr>
              <w:rPr>
                <w:rFonts w:ascii="Arial" w:hAnsi="Arial" w:cs="Arial"/>
                <w:b/>
                <w:sz w:val="16"/>
                <w:szCs w:val="16"/>
                <w:lang w:val="pt-BR"/>
              </w:rPr>
            </w:pPr>
            <w:r w:rsidRPr="00795143">
              <w:rPr>
                <w:rFonts w:ascii="Arial" w:hAnsi="Arial" w:cs="Arial"/>
                <w:b/>
                <w:sz w:val="16"/>
                <w:szCs w:val="16"/>
                <w:lang w:val="pt-B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8" o:title=""/>
                </v:shape>
                <o:OLEObject Type="Embed" ProgID="Word.Document.12" ShapeID="_x0000_i1025" DrawAspect="Icon" ObjectID="_1628505819" r:id="rId9">
                  <o:FieldCodes>\s</o:FieldCodes>
                </o:OLEObject>
              </w:object>
            </w:r>
            <w:bookmarkStart w:id="2" w:name="_MON_1628405041"/>
            <w:bookmarkEnd w:id="2"/>
            <w:r w:rsidRPr="00795143">
              <w:rPr>
                <w:rFonts w:ascii="Arial" w:hAnsi="Arial" w:cs="Arial"/>
                <w:b/>
                <w:sz w:val="16"/>
                <w:szCs w:val="16"/>
                <w:lang w:val="pt-BR"/>
              </w:rPr>
              <w:object w:dxaOrig="1539" w:dyaOrig="994">
                <v:shape id="_x0000_i1026" type="#_x0000_t75" style="width:77.65pt;height:49.45pt" o:ole="">
                  <v:imagedata r:id="rId10" o:title=""/>
                </v:shape>
                <o:OLEObject Type="Embed" ProgID="Word.Document.8" ShapeID="_x0000_i1026" DrawAspect="Icon" ObjectID="_1628505820" r:id="rId11">
                  <o:FieldCodes>\s</o:FieldCodes>
                </o:OLEObject>
              </w:object>
            </w:r>
            <w:bookmarkStart w:id="3" w:name="_MON_1628403853"/>
            <w:bookmarkEnd w:id="3"/>
            <w:r w:rsidRPr="00795143">
              <w:rPr>
                <w:rFonts w:ascii="Arial" w:hAnsi="Arial" w:cs="Arial"/>
                <w:b/>
                <w:sz w:val="16"/>
                <w:szCs w:val="16"/>
                <w:lang w:val="pt-BR"/>
              </w:rPr>
              <w:object w:dxaOrig="1539" w:dyaOrig="994">
                <v:shape id="_x0000_i1027" type="#_x0000_t75" style="width:77.65pt;height:49.45pt" o:ole="">
                  <v:imagedata r:id="rId12" o:title=""/>
                </v:shape>
                <o:OLEObject Type="Embed" ProgID="Word.Document.8" ShapeID="_x0000_i1027" DrawAspect="Icon" ObjectID="_1628505821" r:id="rId13">
                  <o:FieldCodes>\s</o:FieldCodes>
                </o:OLEObject>
              </w:object>
            </w:r>
            <w:r w:rsidRPr="00795143">
              <w:rPr>
                <w:rFonts w:ascii="Arial" w:hAnsi="Arial" w:cs="Arial"/>
                <w:b/>
                <w:sz w:val="16"/>
                <w:szCs w:val="16"/>
                <w:lang w:val="pt-BR"/>
              </w:rPr>
              <w:fldChar w:fldCharType="begin"/>
            </w:r>
            <w:r w:rsidRPr="00795143">
              <w:rPr>
                <w:rFonts w:ascii="Arial" w:hAnsi="Arial" w:cs="Arial"/>
                <w:b/>
                <w:sz w:val="16"/>
                <w:szCs w:val="16"/>
                <w:lang w:val="pt-BR"/>
              </w:rPr>
              <w:instrText xml:space="preserve"> LINK AcroExch.Document.DC "D:\\d\\Proyectos de Ley\\Propuestas Proyecto de Ley\\3133\\Proyecto de Ley No. 21.149\\ICSSC-201-2019  - Expediente No. 21.149.pdf" "" \a \p \f 0 </w:instrText>
            </w:r>
            <w:r w:rsidRPr="00795143">
              <w:rPr>
                <w:rFonts w:ascii="Arial" w:hAnsi="Arial" w:cs="Arial"/>
                <w:b/>
                <w:sz w:val="16"/>
                <w:szCs w:val="16"/>
                <w:lang w:val="pt-BR"/>
              </w:rPr>
              <w:fldChar w:fldCharType="separate"/>
            </w:r>
            <w:r w:rsidRPr="00795143">
              <w:rPr>
                <w:rFonts w:ascii="Arial" w:hAnsi="Arial" w:cs="Arial"/>
                <w:b/>
                <w:noProof/>
                <w:sz w:val="16"/>
                <w:szCs w:val="16"/>
                <w:lang w:val="es-CR" w:eastAsia="es-CR"/>
              </w:rPr>
              <w:drawing>
                <wp:inline distT="0" distB="0" distL="0" distR="0">
                  <wp:extent cx="986155" cy="62801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6155" cy="628015"/>
                          </a:xfrm>
                          <a:prstGeom prst="rect">
                            <a:avLst/>
                          </a:prstGeom>
                          <a:noFill/>
                          <a:ln>
                            <a:noFill/>
                          </a:ln>
                        </pic:spPr>
                      </pic:pic>
                    </a:graphicData>
                  </a:graphic>
                </wp:inline>
              </w:drawing>
            </w:r>
            <w:r w:rsidRPr="00795143">
              <w:rPr>
                <w:rFonts w:ascii="Arial" w:hAnsi="Arial" w:cs="Arial"/>
                <w:b/>
                <w:sz w:val="16"/>
                <w:szCs w:val="16"/>
                <w:lang w:val="pt-BR"/>
              </w:rPr>
              <w:fldChar w:fldCharType="end"/>
            </w:r>
            <w:r w:rsidRPr="00795143">
              <w:rPr>
                <w:rFonts w:ascii="Arial" w:hAnsi="Arial" w:cs="Arial"/>
                <w:b/>
                <w:sz w:val="16"/>
                <w:szCs w:val="16"/>
                <w:lang w:val="pt-BR"/>
              </w:rPr>
              <w:object w:dxaOrig="1539" w:dyaOrig="994">
                <v:shape id="_x0000_i1029" type="#_x0000_t75" style="width:77.65pt;height:49.45pt" o:ole="">
                  <v:imagedata r:id="rId15" o:title=""/>
                </v:shape>
                <o:OLEObject Type="Embed" ProgID="AcroExch.Document.DC" ShapeID="_x0000_i1029" DrawAspect="Icon" ObjectID="_1628505822" r:id="rId16"/>
              </w:object>
            </w:r>
            <w:bookmarkStart w:id="4" w:name="_MON_1628403657"/>
            <w:bookmarkEnd w:id="4"/>
            <w:r w:rsidRPr="00795143">
              <w:rPr>
                <w:rFonts w:ascii="Arial" w:hAnsi="Arial" w:cs="Arial"/>
                <w:b/>
                <w:sz w:val="16"/>
                <w:szCs w:val="16"/>
                <w:lang w:val="pt-BR"/>
              </w:rPr>
              <w:object w:dxaOrig="1539" w:dyaOrig="994">
                <v:shape id="_x0000_i1030" type="#_x0000_t75" style="width:77.65pt;height:49.45pt" o:ole="">
                  <v:imagedata r:id="rId17" o:title=""/>
                </v:shape>
                <o:OLEObject Type="Embed" ProgID="Word.Document.8" ShapeID="_x0000_i1030" DrawAspect="Icon" ObjectID="_1628505823" r:id="rId18">
                  <o:FieldCodes>\s</o:FieldCodes>
                </o:OLEObject>
              </w:object>
            </w:r>
          </w:p>
        </w:tc>
      </w:tr>
      <w:tr w:rsidR="00795143" w:rsidRPr="00795143" w:rsidTr="00B20B79">
        <w:tc>
          <w:tcPr>
            <w:tcW w:w="889" w:type="dxa"/>
          </w:tcPr>
          <w:p w:rsidR="00795143" w:rsidRPr="00795143" w:rsidRDefault="00795143" w:rsidP="00795143">
            <w:pPr>
              <w:rPr>
                <w:rFonts w:ascii="Arial" w:hAnsi="Arial" w:cs="Arial"/>
                <w:b/>
                <w:sz w:val="16"/>
                <w:szCs w:val="16"/>
                <w:lang w:val="pt-BR"/>
              </w:rPr>
            </w:pPr>
            <w:r w:rsidRPr="00795143">
              <w:rPr>
                <w:rFonts w:ascii="Arial" w:hAnsi="Arial" w:cs="Arial"/>
                <w:b/>
                <w:sz w:val="22"/>
                <w:szCs w:val="22"/>
              </w:rPr>
              <w:t>21.329</w:t>
            </w:r>
          </w:p>
        </w:tc>
        <w:bookmarkStart w:id="5" w:name="_MON_1628404050"/>
        <w:bookmarkEnd w:id="5"/>
        <w:tc>
          <w:tcPr>
            <w:tcW w:w="9454" w:type="dxa"/>
          </w:tcPr>
          <w:p w:rsidR="00795143" w:rsidRPr="00795143" w:rsidRDefault="00795143" w:rsidP="00795143">
            <w:pPr>
              <w:rPr>
                <w:rFonts w:ascii="Arial" w:hAnsi="Arial" w:cs="Arial"/>
                <w:b/>
                <w:sz w:val="16"/>
                <w:szCs w:val="16"/>
                <w:lang w:val="pt-BR"/>
              </w:rPr>
            </w:pPr>
            <w:r w:rsidRPr="00795143">
              <w:rPr>
                <w:rFonts w:ascii="Arial" w:hAnsi="Arial" w:cs="Arial"/>
                <w:b/>
                <w:sz w:val="16"/>
                <w:szCs w:val="16"/>
                <w:lang w:val="pt-BR"/>
              </w:rPr>
              <w:object w:dxaOrig="1539" w:dyaOrig="994">
                <v:shape id="_x0000_i1035" type="#_x0000_t75" style="width:77.65pt;height:49.45pt" o:ole="">
                  <v:imagedata r:id="rId19" o:title=""/>
                </v:shape>
                <o:OLEObject Type="Embed" ProgID="Word.Document.12" ShapeID="_x0000_i1035" DrawAspect="Icon" ObjectID="_1628505824" r:id="rId20">
                  <o:FieldCodes>\s</o:FieldCodes>
                </o:OLEObject>
              </w:object>
            </w:r>
            <w:r w:rsidRPr="00795143">
              <w:rPr>
                <w:rFonts w:ascii="Arial" w:hAnsi="Arial" w:cs="Arial"/>
                <w:b/>
                <w:sz w:val="16"/>
                <w:szCs w:val="16"/>
                <w:lang w:val="pt-BR"/>
              </w:rPr>
              <w:object w:dxaOrig="1539" w:dyaOrig="994">
                <v:shape id="_x0000_i1036" type="#_x0000_t75" style="width:77.65pt;height:49.45pt" o:ole="">
                  <v:imagedata r:id="rId21" o:title=""/>
                </v:shape>
                <o:OLEObject Type="Embed" ProgID="AcroExch.Document.DC" ShapeID="_x0000_i1036" DrawAspect="Icon" ObjectID="_1628505825" r:id="rId22"/>
              </w:object>
            </w:r>
          </w:p>
        </w:tc>
      </w:tr>
    </w:tbl>
    <w:p w:rsidR="00795143" w:rsidRDefault="00795143" w:rsidP="008841D4">
      <w:pPr>
        <w:contextualSpacing/>
        <w:jc w:val="both"/>
        <w:rPr>
          <w:rFonts w:ascii="Arial" w:hAnsi="Arial" w:cs="Arial"/>
          <w:b/>
          <w:lang w:val="es-CR"/>
        </w:rPr>
      </w:pPr>
    </w:p>
    <w:p w:rsidR="00795143" w:rsidRDefault="00795143" w:rsidP="008841D4">
      <w:pPr>
        <w:contextualSpacing/>
        <w:jc w:val="both"/>
        <w:rPr>
          <w:rFonts w:ascii="Arial" w:hAnsi="Arial" w:cs="Arial"/>
          <w:b/>
          <w:lang w:val="es-CR"/>
        </w:rPr>
      </w:pPr>
    </w:p>
    <w:p w:rsidR="00B12317" w:rsidRDefault="00B12317" w:rsidP="00B12317">
      <w:pPr>
        <w:ind w:right="-91"/>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0077CC" w:rsidRPr="00B12317" w:rsidRDefault="00EB0F82" w:rsidP="001E3F3C">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477F3" w:rsidRPr="003E5181" w:rsidRDefault="00B12317" w:rsidP="003E5181">
      <w:pPr>
        <w:ind w:left="284"/>
        <w:jc w:val="both"/>
        <w:rPr>
          <w:rFonts w:ascii="Arial" w:hAnsi="Arial" w:cs="Arial"/>
          <w:b/>
          <w:sz w:val="16"/>
          <w:szCs w:val="16"/>
          <w:lang w:val="es-CR"/>
        </w:rPr>
      </w:pPr>
      <w:r>
        <w:rPr>
          <w:rFonts w:ascii="Arial" w:hAnsi="Arial" w:cs="Arial"/>
          <w:sz w:val="16"/>
          <w:szCs w:val="16"/>
          <w:lang w:val="es-ES_tradnl"/>
        </w:rPr>
        <w:t xml:space="preserve"> </w:t>
      </w:r>
    </w:p>
    <w:p w:rsidR="002C0D34" w:rsidRPr="003E5181" w:rsidRDefault="00F41044" w:rsidP="003E5181">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ED72F3" w:rsidRDefault="00ED72F3" w:rsidP="00C6045C">
      <w:pPr>
        <w:ind w:left="851"/>
        <w:jc w:val="both"/>
        <w:rPr>
          <w:rFonts w:ascii="Arial" w:eastAsia="Cambria" w:hAnsi="Arial" w:cs="Arial"/>
          <w:sz w:val="22"/>
          <w:szCs w:val="22"/>
          <w:lang w:val="es-CR" w:eastAsia="en-US"/>
        </w:rPr>
      </w:pPr>
    </w:p>
    <w:sectPr w:rsidR="00ED72F3" w:rsidSect="00CE0215">
      <w:headerReference w:type="default" r:id="rId23"/>
      <w:footerReference w:type="default" r:id="rId24"/>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86" w:rsidRDefault="00307086">
      <w:r>
        <w:separator/>
      </w:r>
    </w:p>
  </w:endnote>
  <w:endnote w:type="continuationSeparator" w:id="0">
    <w:p w:rsidR="00307086" w:rsidRDefault="0030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86" w:rsidRDefault="00307086">
      <w:r>
        <w:separator/>
      </w:r>
    </w:p>
  </w:footnote>
  <w:footnote w:type="continuationSeparator" w:id="0">
    <w:p w:rsidR="00307086" w:rsidRDefault="0030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0A787F">
      <w:rPr>
        <w:rFonts w:ascii="Arial" w:eastAsia="Cambria" w:hAnsi="Arial" w:cs="Arial"/>
        <w:i/>
        <w:sz w:val="18"/>
        <w:szCs w:val="18"/>
        <w:lang w:val="es-ES_tradnl" w:eastAsia="x-none"/>
      </w:rPr>
      <w:t>3</w:t>
    </w:r>
    <w:r w:rsidR="008E6D9D">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8E6D9D">
      <w:rPr>
        <w:rFonts w:ascii="Arial" w:eastAsia="Cambria" w:hAnsi="Arial" w:cs="Arial"/>
        <w:i/>
        <w:sz w:val="18"/>
        <w:szCs w:val="18"/>
        <w:lang w:val="es-ES_tradnl" w:eastAsia="x-none"/>
      </w:rPr>
      <w:t>13</w:t>
    </w:r>
    <w:r w:rsidR="00476CE1">
      <w:rPr>
        <w:rFonts w:ascii="Arial" w:eastAsia="Cambria" w:hAnsi="Arial" w:cs="Arial"/>
        <w:i/>
        <w:sz w:val="18"/>
        <w:szCs w:val="18"/>
        <w:lang w:val="es-ES_tradnl" w:eastAsia="x-none"/>
      </w:rPr>
      <w:t>,</w:t>
    </w:r>
    <w:r w:rsidR="002F6AF8">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4B5364">
      <w:rPr>
        <w:rFonts w:ascii="Arial" w:eastAsia="Cambria" w:hAnsi="Arial" w:cs="Arial"/>
        <w:i/>
        <w:sz w:val="18"/>
        <w:szCs w:val="18"/>
        <w:lang w:val="es-ES_tradnl" w:eastAsia="x-none"/>
      </w:rPr>
      <w:t>2</w:t>
    </w:r>
    <w:r w:rsidR="008E6D9D">
      <w:rPr>
        <w:rFonts w:ascii="Arial" w:eastAsia="Cambria" w:hAnsi="Arial" w:cs="Arial"/>
        <w:i/>
        <w:sz w:val="18"/>
        <w:szCs w:val="18"/>
        <w:lang w:val="es-ES_tradnl" w:eastAsia="x-none"/>
      </w:rPr>
      <w:t>8</w:t>
    </w:r>
    <w:r w:rsidR="000A787F">
      <w:rPr>
        <w:rFonts w:ascii="Arial" w:eastAsia="Cambria" w:hAnsi="Arial" w:cs="Arial"/>
        <w:i/>
        <w:sz w:val="18"/>
        <w:szCs w:val="18"/>
        <w:lang w:val="es-ES_tradnl" w:eastAsia="x-none"/>
      </w:rPr>
      <w:t xml:space="preserve"> de agosto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95143">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B235AC"/>
    <w:multiLevelType w:val="hybridMultilevel"/>
    <w:tmpl w:val="8B6C3B9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BC31ADC"/>
    <w:multiLevelType w:val="hybridMultilevel"/>
    <w:tmpl w:val="6D7CA12A"/>
    <w:lvl w:ilvl="0" w:tplc="55482EAA">
      <w:start w:val="1"/>
      <w:numFmt w:val="lowerLetter"/>
      <w:lvlText w:val="%1."/>
      <w:lvlJc w:val="left"/>
      <w:pPr>
        <w:ind w:left="1068" w:hanging="360"/>
      </w:pPr>
      <w:rPr>
        <w:b/>
        <w:i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15:restartNumberingAfterBreak="0">
    <w:nsid w:val="31996F7D"/>
    <w:multiLevelType w:val="hybridMultilevel"/>
    <w:tmpl w:val="011014A8"/>
    <w:lvl w:ilvl="0" w:tplc="D64CE136">
      <w:start w:val="1"/>
      <w:numFmt w:val="lowerLetter"/>
      <w:lvlText w:val="%1."/>
      <w:lvlJc w:val="left"/>
      <w:pPr>
        <w:ind w:left="720" w:hanging="360"/>
      </w:pPr>
      <w:rPr>
        <w:rFonts w:hint="default"/>
        <w:b/>
        <w:i w:val="0"/>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BE7ED4"/>
    <w:multiLevelType w:val="multilevel"/>
    <w:tmpl w:val="1FA8B5CE"/>
    <w:lvl w:ilvl="0">
      <w:start w:val="1"/>
      <w:numFmt w:val="decimal"/>
      <w:lvlText w:val="%1."/>
      <w:lvlJc w:val="left"/>
      <w:pPr>
        <w:ind w:left="720" w:hanging="360"/>
      </w:pPr>
      <w:rPr>
        <w:b/>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A37956"/>
    <w:multiLevelType w:val="hybridMultilevel"/>
    <w:tmpl w:val="B040259E"/>
    <w:lvl w:ilvl="0" w:tplc="CF86C8BC">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F0C1699"/>
    <w:multiLevelType w:val="hybridMultilevel"/>
    <w:tmpl w:val="FC4C74BC"/>
    <w:lvl w:ilvl="0" w:tplc="DDE8A932">
      <w:start w:val="1"/>
      <w:numFmt w:val="decimal"/>
      <w:lvlText w:val="%1."/>
      <w:lvlJc w:val="left"/>
      <w:pPr>
        <w:tabs>
          <w:tab w:val="num" w:pos="720"/>
        </w:tabs>
        <w:ind w:left="72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0E42948"/>
    <w:multiLevelType w:val="hybridMultilevel"/>
    <w:tmpl w:val="E6A85BD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6"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982FD3"/>
    <w:multiLevelType w:val="hybridMultilevel"/>
    <w:tmpl w:val="EBB669C4"/>
    <w:lvl w:ilvl="0" w:tplc="1DB057E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2"/>
  </w:num>
  <w:num w:numId="5">
    <w:abstractNumId w:val="16"/>
  </w:num>
  <w:num w:numId="6">
    <w:abstractNumId w:val="10"/>
  </w:num>
  <w:num w:numId="7">
    <w:abstractNumId w:val="5"/>
  </w:num>
  <w:num w:numId="8">
    <w:abstractNumId w:val="7"/>
  </w:num>
  <w:num w:numId="9">
    <w:abstractNumId w:val="6"/>
  </w:num>
  <w:num w:numId="10">
    <w:abstractNumId w:val="3"/>
  </w:num>
  <w:num w:numId="11">
    <w:abstractNumId w:val="11"/>
  </w:num>
  <w:num w:numId="12">
    <w:abstractNumId w:val="13"/>
  </w:num>
  <w:num w:numId="13">
    <w:abstractNumId w:val="8"/>
  </w:num>
  <w:num w:numId="14">
    <w:abstractNumId w:val="9"/>
  </w:num>
  <w:num w:numId="15">
    <w:abstractNumId w:val="2"/>
  </w:num>
  <w:num w:numId="16">
    <w:abstractNumId w:val="15"/>
  </w:num>
  <w:num w:numId="17">
    <w:abstractNumId w:val="4"/>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372D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4138"/>
    <w:rsid w:val="000955C3"/>
    <w:rsid w:val="000A0756"/>
    <w:rsid w:val="000A0FF7"/>
    <w:rsid w:val="000A19B8"/>
    <w:rsid w:val="000A5D85"/>
    <w:rsid w:val="000A5F69"/>
    <w:rsid w:val="000A6BE8"/>
    <w:rsid w:val="000A787F"/>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343"/>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38F4"/>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2D8"/>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477F3"/>
    <w:rsid w:val="00250B47"/>
    <w:rsid w:val="002535D4"/>
    <w:rsid w:val="00253D5C"/>
    <w:rsid w:val="002543F5"/>
    <w:rsid w:val="00255202"/>
    <w:rsid w:val="002569E9"/>
    <w:rsid w:val="00256C13"/>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5EB4"/>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78"/>
    <w:rsid w:val="003011A3"/>
    <w:rsid w:val="0030153B"/>
    <w:rsid w:val="00301B0B"/>
    <w:rsid w:val="00302A99"/>
    <w:rsid w:val="003042E7"/>
    <w:rsid w:val="003047F1"/>
    <w:rsid w:val="0030486D"/>
    <w:rsid w:val="00305BC2"/>
    <w:rsid w:val="00307086"/>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9A5"/>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5D90"/>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3AD"/>
    <w:rsid w:val="003E26B1"/>
    <w:rsid w:val="003E2804"/>
    <w:rsid w:val="003E369B"/>
    <w:rsid w:val="003E5181"/>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6CE1"/>
    <w:rsid w:val="00477A87"/>
    <w:rsid w:val="00480A91"/>
    <w:rsid w:val="0048135B"/>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5364"/>
    <w:rsid w:val="004B66FD"/>
    <w:rsid w:val="004B6F51"/>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28FD"/>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510D"/>
    <w:rsid w:val="005F6B28"/>
    <w:rsid w:val="005F79E5"/>
    <w:rsid w:val="005F7BC7"/>
    <w:rsid w:val="00603C4D"/>
    <w:rsid w:val="00604520"/>
    <w:rsid w:val="006059E6"/>
    <w:rsid w:val="0060685F"/>
    <w:rsid w:val="00607B7C"/>
    <w:rsid w:val="00607ECD"/>
    <w:rsid w:val="00610697"/>
    <w:rsid w:val="0061239A"/>
    <w:rsid w:val="00612C0F"/>
    <w:rsid w:val="006133E5"/>
    <w:rsid w:val="00620D40"/>
    <w:rsid w:val="00621218"/>
    <w:rsid w:val="0062298E"/>
    <w:rsid w:val="00623598"/>
    <w:rsid w:val="00623979"/>
    <w:rsid w:val="00623BA9"/>
    <w:rsid w:val="00624C4E"/>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58C0"/>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79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5B4A"/>
    <w:rsid w:val="00735DBA"/>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1F15"/>
    <w:rsid w:val="007729C9"/>
    <w:rsid w:val="007742A1"/>
    <w:rsid w:val="00774600"/>
    <w:rsid w:val="00777FF4"/>
    <w:rsid w:val="00781332"/>
    <w:rsid w:val="007819B0"/>
    <w:rsid w:val="007837C1"/>
    <w:rsid w:val="007848E0"/>
    <w:rsid w:val="0078514D"/>
    <w:rsid w:val="00785B68"/>
    <w:rsid w:val="00791713"/>
    <w:rsid w:val="00791806"/>
    <w:rsid w:val="00791D2B"/>
    <w:rsid w:val="00794454"/>
    <w:rsid w:val="00795143"/>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670"/>
    <w:rsid w:val="008108E8"/>
    <w:rsid w:val="0081353F"/>
    <w:rsid w:val="00815304"/>
    <w:rsid w:val="00816407"/>
    <w:rsid w:val="00817E8C"/>
    <w:rsid w:val="00821226"/>
    <w:rsid w:val="00821E37"/>
    <w:rsid w:val="00821E72"/>
    <w:rsid w:val="00823CC6"/>
    <w:rsid w:val="00825809"/>
    <w:rsid w:val="00825F93"/>
    <w:rsid w:val="00831982"/>
    <w:rsid w:val="0083257F"/>
    <w:rsid w:val="00833CF7"/>
    <w:rsid w:val="00834636"/>
    <w:rsid w:val="00835E65"/>
    <w:rsid w:val="00836144"/>
    <w:rsid w:val="00837AFC"/>
    <w:rsid w:val="0084085F"/>
    <w:rsid w:val="00841F61"/>
    <w:rsid w:val="008434BA"/>
    <w:rsid w:val="00845D24"/>
    <w:rsid w:val="00845DBC"/>
    <w:rsid w:val="00851093"/>
    <w:rsid w:val="008517A6"/>
    <w:rsid w:val="008522DF"/>
    <w:rsid w:val="008544DB"/>
    <w:rsid w:val="008569BA"/>
    <w:rsid w:val="00862FA3"/>
    <w:rsid w:val="00862FDC"/>
    <w:rsid w:val="00863F94"/>
    <w:rsid w:val="00865845"/>
    <w:rsid w:val="00866EEF"/>
    <w:rsid w:val="008757CC"/>
    <w:rsid w:val="008765DF"/>
    <w:rsid w:val="00876EC4"/>
    <w:rsid w:val="00877453"/>
    <w:rsid w:val="0088064F"/>
    <w:rsid w:val="00880D5D"/>
    <w:rsid w:val="008833CD"/>
    <w:rsid w:val="008841D4"/>
    <w:rsid w:val="00885725"/>
    <w:rsid w:val="00885DF1"/>
    <w:rsid w:val="00885F0A"/>
    <w:rsid w:val="00887FCC"/>
    <w:rsid w:val="008903EF"/>
    <w:rsid w:val="00891B08"/>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21B"/>
    <w:rsid w:val="008E18B1"/>
    <w:rsid w:val="008E23D2"/>
    <w:rsid w:val="008E3496"/>
    <w:rsid w:val="008E4197"/>
    <w:rsid w:val="008E463C"/>
    <w:rsid w:val="008E4708"/>
    <w:rsid w:val="008E511D"/>
    <w:rsid w:val="008E58B9"/>
    <w:rsid w:val="008E6D9D"/>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1B0F"/>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317"/>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591"/>
    <w:rsid w:val="00CA3E94"/>
    <w:rsid w:val="00CA406B"/>
    <w:rsid w:val="00CA6F4F"/>
    <w:rsid w:val="00CB0CB0"/>
    <w:rsid w:val="00CB0ED4"/>
    <w:rsid w:val="00CB1EFF"/>
    <w:rsid w:val="00CB2353"/>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4083"/>
    <w:rsid w:val="00D76019"/>
    <w:rsid w:val="00D76B5F"/>
    <w:rsid w:val="00D77C4D"/>
    <w:rsid w:val="00D811D1"/>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36A6"/>
    <w:rsid w:val="00DC4940"/>
    <w:rsid w:val="00DC495A"/>
    <w:rsid w:val="00DC5266"/>
    <w:rsid w:val="00DD46A3"/>
    <w:rsid w:val="00DD50B4"/>
    <w:rsid w:val="00DD739B"/>
    <w:rsid w:val="00DD760F"/>
    <w:rsid w:val="00DE04D8"/>
    <w:rsid w:val="00DE0B28"/>
    <w:rsid w:val="00DE4B08"/>
    <w:rsid w:val="00DE6765"/>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2E1B"/>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41A8"/>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39DA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811D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A2E1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9514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9514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Documento_de_Microsoft_Word_97-20031.doc"/><Relationship Id="rId18" Type="http://schemas.openxmlformats.org/officeDocument/2006/relationships/oleObject" Target="embeddings/Documento_de_Microsoft_Word_97-20032.doc"/><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package" Target="embeddings/Documento_de_Microsoft_Word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o_de_Microsoft_Word_97-2003.doc"/><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image" Target="media/image4.emf"/><Relationship Id="rId22"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CF55-5D90-461E-AF7E-083E9669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7</Pages>
  <Words>1865</Words>
  <Characters>10260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191</cp:revision>
  <cp:lastPrinted>2019-08-14T19:53:00Z</cp:lastPrinted>
  <dcterms:created xsi:type="dcterms:W3CDTF">2018-05-02T21:37:00Z</dcterms:created>
  <dcterms:modified xsi:type="dcterms:W3CDTF">2019-08-28T19:57:00Z</dcterms:modified>
</cp:coreProperties>
</file>