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7601A">
        <w:rPr>
          <w:rFonts w:ascii="Arial" w:hAnsi="Arial" w:cs="Arial"/>
          <w:b/>
          <w:bCs/>
          <w:iCs/>
          <w:sz w:val="26"/>
          <w:szCs w:val="22"/>
          <w:lang w:val="es-CR"/>
        </w:rPr>
        <w:t>-</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Pr="009E28A0" w:rsidRDefault="009E28A0" w:rsidP="00456ABA">
            <w:pPr>
              <w:jc w:val="both"/>
              <w:rPr>
                <w:rFonts w:ascii="Arial" w:eastAsia="Cambria" w:hAnsi="Arial" w:cs="Arial"/>
                <w:sz w:val="22"/>
                <w:szCs w:val="22"/>
                <w:lang w:val="es-ES_tradnl" w:eastAsia="en-US"/>
              </w:rPr>
            </w:pPr>
            <w:r w:rsidRPr="009E28A0">
              <w:rPr>
                <w:rFonts w:ascii="Arial" w:eastAsia="Cambria" w:hAnsi="Arial" w:cs="Arial"/>
                <w:sz w:val="22"/>
                <w:szCs w:val="22"/>
                <w:lang w:val="es-ES_tradnl" w:eastAsia="en-US"/>
              </w:rPr>
              <w:t xml:space="preserve"> </w:t>
            </w:r>
            <w:r w:rsidR="007A1C46" w:rsidRPr="009E28A0">
              <w:rPr>
                <w:rFonts w:ascii="Arial" w:eastAsia="Cambria" w:hAnsi="Arial" w:cs="Arial"/>
                <w:sz w:val="22"/>
                <w:szCs w:val="22"/>
                <w:lang w:val="es-ES_tradnl" w:eastAsia="en-US"/>
              </w:rPr>
              <w:t>Dr. Julio Calvo Alvarado</w:t>
            </w:r>
            <w:r w:rsidR="0090700F" w:rsidRPr="009E28A0">
              <w:rPr>
                <w:rFonts w:ascii="Arial" w:eastAsia="Cambria" w:hAnsi="Arial" w:cs="Arial"/>
                <w:sz w:val="22"/>
                <w:szCs w:val="22"/>
                <w:lang w:val="es-ES_tradnl" w:eastAsia="en-US"/>
              </w:rPr>
              <w:t>, Rector</w:t>
            </w:r>
          </w:p>
          <w:p w:rsidR="00795328" w:rsidRDefault="00795328" w:rsidP="00F2344D">
            <w:pPr>
              <w:ind w:left="45"/>
              <w:jc w:val="both"/>
              <w:rPr>
                <w:rFonts w:ascii="Arial" w:eastAsia="Cambria" w:hAnsi="Arial" w:cs="Arial"/>
                <w:sz w:val="22"/>
                <w:szCs w:val="22"/>
                <w:lang w:eastAsia="en-US"/>
              </w:rPr>
            </w:pPr>
            <w:r w:rsidRPr="00795328">
              <w:rPr>
                <w:rFonts w:ascii="Arial" w:eastAsia="Cambria" w:hAnsi="Arial" w:cs="Arial"/>
                <w:sz w:val="22"/>
                <w:szCs w:val="22"/>
                <w:lang w:eastAsia="en-US"/>
              </w:rPr>
              <w:t xml:space="preserve">Señores </w:t>
            </w:r>
            <w:r w:rsidRPr="00795328">
              <w:rPr>
                <w:rFonts w:ascii="Arial" w:eastAsia="Cambria" w:hAnsi="Arial" w:cs="Arial"/>
                <w:sz w:val="22"/>
                <w:szCs w:val="22"/>
                <w:lang w:eastAsia="en-US"/>
              </w:rPr>
              <w:t>Comisión Permanente Especial de Derechos Humanos</w:t>
            </w:r>
          </w:p>
          <w:p w:rsidR="00DB4D29" w:rsidRPr="00795328" w:rsidRDefault="00795328" w:rsidP="00F2344D">
            <w:pPr>
              <w:ind w:left="45"/>
              <w:jc w:val="both"/>
              <w:rPr>
                <w:rFonts w:ascii="Arial" w:hAnsi="Arial" w:cs="Arial"/>
                <w:sz w:val="22"/>
                <w:szCs w:val="22"/>
                <w:lang w:val="es-CR"/>
              </w:rPr>
            </w:pPr>
            <w:r w:rsidRPr="00795328">
              <w:rPr>
                <w:rFonts w:ascii="Arial" w:eastAsia="Cambria" w:hAnsi="Arial" w:cs="Arial"/>
                <w:sz w:val="22"/>
                <w:szCs w:val="22"/>
                <w:lang w:eastAsia="en-US"/>
              </w:rPr>
              <w:t>Asamblea Legislativa</w:t>
            </w:r>
          </w:p>
          <w:p w:rsidR="00DB4D29" w:rsidRPr="009E28A0" w:rsidRDefault="00DB4D29" w:rsidP="00F2344D">
            <w:pPr>
              <w:ind w:left="45"/>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6D0CA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337E83"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p>
          <w:p w:rsidR="007742A1" w:rsidRPr="008E0D8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2344D"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w:t>
            </w:r>
            <w:r w:rsidR="00F34A79">
              <w:rPr>
                <w:rFonts w:ascii="Arial" w:eastAsia="Cambria" w:hAnsi="Arial" w:cs="Arial"/>
                <w:b/>
                <w:sz w:val="22"/>
                <w:szCs w:val="22"/>
                <w:lang w:val="es-ES_tradnl" w:eastAsia="en-US"/>
              </w:rPr>
              <w:t>8</w:t>
            </w:r>
            <w:r w:rsidR="000857E5">
              <w:rPr>
                <w:rFonts w:ascii="Arial" w:eastAsia="Cambria" w:hAnsi="Arial" w:cs="Arial"/>
                <w:b/>
                <w:sz w:val="22"/>
                <w:szCs w:val="22"/>
                <w:lang w:val="es-ES_tradnl" w:eastAsia="en-US"/>
              </w:rPr>
              <w:t xml:space="preserve"> de </w:t>
            </w:r>
            <w:r w:rsidR="00F34A79">
              <w:rPr>
                <w:rFonts w:ascii="Arial" w:eastAsia="Cambria" w:hAnsi="Arial" w:cs="Arial"/>
                <w:b/>
                <w:sz w:val="22"/>
                <w:szCs w:val="22"/>
                <w:lang w:val="es-ES_tradnl" w:eastAsia="en-US"/>
              </w:rPr>
              <w:t>mayo</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F2344D"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F2344D" w:rsidRDefault="00FF209C" w:rsidP="00F34A79">
            <w:pPr>
              <w:autoSpaceDE w:val="0"/>
              <w:autoSpaceDN w:val="0"/>
              <w:adjustRightInd w:val="0"/>
              <w:ind w:right="-91"/>
              <w:jc w:val="both"/>
              <w:rPr>
                <w:rFonts w:ascii="Arial" w:hAnsi="Arial" w:cs="Arial"/>
                <w:b/>
                <w:lang w:val="es-CR"/>
              </w:rPr>
            </w:pPr>
            <w:r w:rsidRPr="00F2344D">
              <w:rPr>
                <w:rFonts w:ascii="Arial" w:eastAsia="Calibri" w:hAnsi="Arial" w:cs="Arial"/>
                <w:b/>
                <w:sz w:val="22"/>
                <w:szCs w:val="22"/>
              </w:rPr>
              <w:t>S</w:t>
            </w:r>
            <w:r w:rsidR="007742A1" w:rsidRPr="00F2344D">
              <w:rPr>
                <w:rFonts w:ascii="Arial" w:eastAsia="Calibri" w:hAnsi="Arial" w:cs="Arial"/>
                <w:b/>
                <w:sz w:val="22"/>
                <w:szCs w:val="22"/>
              </w:rPr>
              <w:t xml:space="preserve">esión Ordinaria No. </w:t>
            </w:r>
            <w:r w:rsidR="00337455" w:rsidRPr="00F2344D">
              <w:rPr>
                <w:rFonts w:ascii="Arial" w:eastAsia="Calibri" w:hAnsi="Arial" w:cs="Arial"/>
                <w:b/>
                <w:sz w:val="22"/>
                <w:szCs w:val="22"/>
              </w:rPr>
              <w:t>3</w:t>
            </w:r>
            <w:r w:rsidR="003F3400" w:rsidRPr="00F2344D">
              <w:rPr>
                <w:rFonts w:ascii="Arial" w:eastAsia="Calibri" w:hAnsi="Arial" w:cs="Arial"/>
                <w:b/>
                <w:sz w:val="22"/>
                <w:szCs w:val="22"/>
              </w:rPr>
              <w:t>1</w:t>
            </w:r>
            <w:r w:rsidR="008F6C51" w:rsidRPr="00F2344D">
              <w:rPr>
                <w:rFonts w:ascii="Arial" w:eastAsia="Calibri" w:hAnsi="Arial" w:cs="Arial"/>
                <w:b/>
                <w:sz w:val="22"/>
                <w:szCs w:val="22"/>
              </w:rPr>
              <w:t>1</w:t>
            </w:r>
            <w:r w:rsidR="00F34A79">
              <w:rPr>
                <w:rFonts w:ascii="Arial" w:eastAsia="Calibri" w:hAnsi="Arial" w:cs="Arial"/>
                <w:b/>
                <w:sz w:val="22"/>
                <w:szCs w:val="22"/>
              </w:rPr>
              <w:t>6</w:t>
            </w:r>
            <w:r w:rsidR="007742A1" w:rsidRPr="00F2344D">
              <w:rPr>
                <w:rFonts w:ascii="Arial" w:eastAsia="Calibri" w:hAnsi="Arial" w:cs="Arial"/>
                <w:b/>
                <w:sz w:val="22"/>
                <w:szCs w:val="22"/>
              </w:rPr>
              <w:t>, Artículo</w:t>
            </w:r>
            <w:r w:rsidR="00A5669A" w:rsidRPr="00F2344D">
              <w:rPr>
                <w:rFonts w:ascii="Arial" w:eastAsia="Calibri" w:hAnsi="Arial" w:cs="Arial"/>
                <w:b/>
                <w:sz w:val="22"/>
                <w:szCs w:val="22"/>
              </w:rPr>
              <w:t xml:space="preserve"> </w:t>
            </w:r>
            <w:r w:rsidR="00F34A79">
              <w:rPr>
                <w:rFonts w:ascii="Arial" w:eastAsia="Calibri" w:hAnsi="Arial" w:cs="Arial"/>
                <w:b/>
                <w:sz w:val="22"/>
                <w:szCs w:val="22"/>
              </w:rPr>
              <w:t>9</w:t>
            </w:r>
            <w:r w:rsidR="00FF3C43" w:rsidRPr="00F2344D">
              <w:rPr>
                <w:rFonts w:ascii="Arial" w:eastAsia="Calibri" w:hAnsi="Arial" w:cs="Arial"/>
                <w:b/>
                <w:sz w:val="22"/>
                <w:szCs w:val="22"/>
              </w:rPr>
              <w:t>,</w:t>
            </w:r>
            <w:r w:rsidR="007742A1" w:rsidRPr="00F2344D">
              <w:rPr>
                <w:rFonts w:ascii="Arial" w:eastAsia="Calibri" w:hAnsi="Arial" w:cs="Arial"/>
                <w:b/>
                <w:sz w:val="22"/>
                <w:szCs w:val="22"/>
              </w:rPr>
              <w:t xml:space="preserve"> del </w:t>
            </w:r>
            <w:r w:rsidR="00F34A79">
              <w:rPr>
                <w:rFonts w:ascii="Arial" w:eastAsia="Calibri" w:hAnsi="Arial" w:cs="Arial"/>
                <w:b/>
                <w:sz w:val="22"/>
                <w:szCs w:val="22"/>
              </w:rPr>
              <w:t>08</w:t>
            </w:r>
            <w:r w:rsidR="000857E5" w:rsidRPr="00F2344D">
              <w:rPr>
                <w:rFonts w:ascii="Arial" w:eastAsia="Calibri" w:hAnsi="Arial" w:cs="Arial"/>
                <w:b/>
                <w:sz w:val="22"/>
                <w:szCs w:val="22"/>
              </w:rPr>
              <w:t xml:space="preserve"> de </w:t>
            </w:r>
            <w:r w:rsidR="00F34A79">
              <w:rPr>
                <w:rFonts w:ascii="Arial" w:eastAsia="Calibri" w:hAnsi="Arial" w:cs="Arial"/>
                <w:b/>
                <w:sz w:val="22"/>
                <w:szCs w:val="22"/>
              </w:rPr>
              <w:t>mayo</w:t>
            </w:r>
            <w:r w:rsidR="00E818A8" w:rsidRPr="00F2344D">
              <w:rPr>
                <w:rFonts w:ascii="Arial" w:eastAsia="Calibri" w:hAnsi="Arial" w:cs="Arial"/>
                <w:b/>
                <w:sz w:val="22"/>
                <w:szCs w:val="22"/>
              </w:rPr>
              <w:t xml:space="preserve"> </w:t>
            </w:r>
            <w:r w:rsidR="00A772EF" w:rsidRPr="00F2344D">
              <w:rPr>
                <w:rFonts w:ascii="Arial" w:eastAsia="Calibri" w:hAnsi="Arial" w:cs="Arial"/>
                <w:b/>
                <w:sz w:val="22"/>
                <w:szCs w:val="22"/>
              </w:rPr>
              <w:t>de 201</w:t>
            </w:r>
            <w:r w:rsidR="00AA61D4" w:rsidRPr="00F2344D">
              <w:rPr>
                <w:rFonts w:ascii="Arial" w:eastAsia="Calibri" w:hAnsi="Arial" w:cs="Arial"/>
                <w:b/>
                <w:sz w:val="22"/>
                <w:szCs w:val="22"/>
              </w:rPr>
              <w:t>9</w:t>
            </w:r>
            <w:r w:rsidR="00925985" w:rsidRPr="00F2344D">
              <w:rPr>
                <w:rFonts w:ascii="Arial" w:eastAsia="Calibri" w:hAnsi="Arial" w:cs="Arial"/>
                <w:b/>
                <w:sz w:val="22"/>
                <w:szCs w:val="22"/>
              </w:rPr>
              <w:t>.</w:t>
            </w:r>
            <w:r w:rsidR="00037459">
              <w:rPr>
                <w:rFonts w:ascii="Arial" w:eastAsia="Calibri" w:hAnsi="Arial" w:cs="Arial"/>
                <w:b/>
                <w:sz w:val="22"/>
                <w:szCs w:val="22"/>
              </w:rPr>
              <w:t xml:space="preserve"> </w:t>
            </w:r>
            <w:r w:rsidR="00145B3B" w:rsidRPr="00145B3B">
              <w:rPr>
                <w:rFonts w:ascii="Arial" w:eastAsia="Cambria" w:hAnsi="Arial" w:cs="Arial"/>
                <w:b/>
                <w:bCs/>
                <w:sz w:val="22"/>
                <w:szCs w:val="22"/>
                <w:lang w:val="es-CR" w:eastAsia="en-US"/>
              </w:rPr>
              <w:t>Pronunciamiento del Consejo Institucional sobre el texto sustitutivo sobre el Proyecto “Ley de Protección del Derecho a la Nacionalidad de la Persona Indígena Transfronteriza y Garantía de Integración de la Persona Indígena Transfronteriza”, Expediente No. 20.554</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DB4D29" w:rsidRDefault="00DB4D29" w:rsidP="007742A1">
      <w:pPr>
        <w:jc w:val="both"/>
        <w:rPr>
          <w:rFonts w:ascii="Arial" w:eastAsia="Cambria" w:hAnsi="Arial" w:cs="Arial"/>
          <w:lang w:val="es-ES_tradnl" w:eastAsia="en-US"/>
        </w:rPr>
      </w:pPr>
    </w:p>
    <w:p w:rsidR="00795328" w:rsidRPr="00795328" w:rsidRDefault="00795328" w:rsidP="00795328">
      <w:pPr>
        <w:spacing w:after="200"/>
        <w:rPr>
          <w:rFonts w:ascii="Arial" w:hAnsi="Arial" w:cs="Arial"/>
          <w:b/>
          <w:bCs/>
          <w:i/>
          <w:iCs/>
          <w:kern w:val="32"/>
          <w:szCs w:val="22"/>
        </w:rPr>
      </w:pPr>
      <w:r w:rsidRPr="00795328">
        <w:rPr>
          <w:rFonts w:ascii="Arial" w:hAnsi="Arial" w:cs="Arial"/>
          <w:b/>
          <w:bCs/>
          <w:kern w:val="32"/>
          <w:szCs w:val="22"/>
        </w:rPr>
        <w:t>RESULTANDO QUE:</w:t>
      </w:r>
    </w:p>
    <w:p w:rsidR="00795328" w:rsidRPr="00795328" w:rsidRDefault="00795328" w:rsidP="00795328">
      <w:pPr>
        <w:numPr>
          <w:ilvl w:val="0"/>
          <w:numId w:val="15"/>
        </w:numPr>
        <w:ind w:left="360"/>
        <w:jc w:val="both"/>
        <w:rPr>
          <w:rFonts w:ascii="Arial" w:hAnsi="Arial" w:cs="Arial"/>
          <w:szCs w:val="22"/>
          <w:lang w:val="es-CR"/>
        </w:rPr>
      </w:pPr>
      <w:r w:rsidRPr="00795328">
        <w:rPr>
          <w:rFonts w:ascii="Arial" w:hAnsi="Arial" w:cs="Arial"/>
          <w:szCs w:val="22"/>
          <w:lang w:val="es-CR"/>
        </w:rPr>
        <w:t>El Artículo 88 de la Constitución Política de la República de Costa Rica prescribe:</w:t>
      </w:r>
    </w:p>
    <w:p w:rsidR="00795328" w:rsidRPr="00795328" w:rsidRDefault="00795328" w:rsidP="00795328">
      <w:pPr>
        <w:ind w:left="360"/>
        <w:jc w:val="both"/>
        <w:rPr>
          <w:rFonts w:ascii="Arial" w:hAnsi="Arial" w:cs="Arial"/>
          <w:sz w:val="22"/>
          <w:szCs w:val="22"/>
          <w:lang w:val="es-CR"/>
        </w:rPr>
      </w:pPr>
    </w:p>
    <w:p w:rsidR="00795328" w:rsidRPr="00795328" w:rsidRDefault="00795328" w:rsidP="00795328">
      <w:pPr>
        <w:ind w:left="1080" w:right="689"/>
        <w:jc w:val="both"/>
        <w:rPr>
          <w:rFonts w:ascii="Arial" w:hAnsi="Arial" w:cs="Arial"/>
          <w:i/>
          <w:sz w:val="22"/>
          <w:szCs w:val="22"/>
          <w:lang w:val="es-CR"/>
        </w:rPr>
      </w:pPr>
      <w:r w:rsidRPr="00795328">
        <w:rPr>
          <w:rFonts w:ascii="Arial" w:hAnsi="Arial" w:cs="Arial"/>
          <w:i/>
          <w:sz w:val="22"/>
          <w:szCs w:val="22"/>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795328" w:rsidRPr="00795328" w:rsidRDefault="00795328" w:rsidP="00795328">
      <w:pPr>
        <w:ind w:left="1080" w:right="689"/>
        <w:jc w:val="both"/>
        <w:rPr>
          <w:rFonts w:ascii="Arial" w:hAnsi="Arial" w:cs="Arial"/>
          <w:i/>
          <w:sz w:val="22"/>
          <w:szCs w:val="22"/>
          <w:lang w:val="es-CR"/>
        </w:rPr>
      </w:pPr>
    </w:p>
    <w:p w:rsidR="00795328" w:rsidRPr="00795328" w:rsidRDefault="00795328" w:rsidP="00795328">
      <w:pPr>
        <w:numPr>
          <w:ilvl w:val="0"/>
          <w:numId w:val="15"/>
        </w:numPr>
        <w:ind w:left="360"/>
        <w:jc w:val="both"/>
        <w:rPr>
          <w:rFonts w:ascii="Arial" w:hAnsi="Arial" w:cs="Arial"/>
          <w:lang w:val="es-CR"/>
        </w:rPr>
      </w:pPr>
      <w:r w:rsidRPr="00795328">
        <w:rPr>
          <w:rFonts w:ascii="Arial" w:hAnsi="Arial" w:cs="Arial"/>
          <w:lang w:val="es-CR"/>
        </w:rPr>
        <w:t>El Estatuto Orgánico del Instituto Tecnológico de Costa Rica, en el Artículo 18, inciso i) señala:</w:t>
      </w:r>
    </w:p>
    <w:p w:rsidR="00795328" w:rsidRPr="00795328" w:rsidRDefault="00795328" w:rsidP="00795328">
      <w:pPr>
        <w:ind w:left="1080" w:right="689"/>
        <w:jc w:val="both"/>
        <w:rPr>
          <w:rFonts w:ascii="Arial" w:hAnsi="Arial" w:cs="Arial"/>
          <w:i/>
          <w:sz w:val="22"/>
          <w:szCs w:val="22"/>
          <w:lang w:val="es-CR"/>
        </w:rPr>
      </w:pPr>
    </w:p>
    <w:p w:rsidR="00795328" w:rsidRPr="00795328" w:rsidRDefault="00795328" w:rsidP="00795328">
      <w:pPr>
        <w:ind w:left="1080" w:right="689"/>
        <w:jc w:val="both"/>
        <w:rPr>
          <w:rFonts w:ascii="Arial" w:hAnsi="Arial" w:cs="Arial"/>
          <w:i/>
          <w:sz w:val="22"/>
          <w:szCs w:val="22"/>
          <w:lang w:val="es-CR"/>
        </w:rPr>
      </w:pPr>
      <w:r w:rsidRPr="00795328">
        <w:rPr>
          <w:rFonts w:ascii="Arial" w:hAnsi="Arial" w:cs="Arial"/>
          <w:i/>
          <w:sz w:val="22"/>
          <w:szCs w:val="22"/>
          <w:lang w:val="es-CR"/>
        </w:rPr>
        <w:t>“Son funciones del Consejo Institucional:</w:t>
      </w:r>
    </w:p>
    <w:p w:rsidR="00795328" w:rsidRPr="00795328" w:rsidRDefault="00795328" w:rsidP="00795328">
      <w:pPr>
        <w:ind w:left="1080" w:right="689"/>
        <w:jc w:val="both"/>
        <w:rPr>
          <w:rFonts w:ascii="Arial" w:hAnsi="Arial" w:cs="Arial"/>
          <w:i/>
          <w:sz w:val="22"/>
          <w:szCs w:val="22"/>
          <w:lang w:val="es-CR"/>
        </w:rPr>
      </w:pPr>
      <w:r w:rsidRPr="00795328">
        <w:rPr>
          <w:rFonts w:ascii="Arial" w:hAnsi="Arial" w:cs="Arial"/>
          <w:i/>
          <w:sz w:val="22"/>
          <w:szCs w:val="22"/>
          <w:lang w:val="es-CR"/>
        </w:rPr>
        <w:t>…</w:t>
      </w:r>
    </w:p>
    <w:p w:rsidR="00795328" w:rsidRPr="00795328" w:rsidRDefault="00795328" w:rsidP="00795328">
      <w:pPr>
        <w:ind w:left="1080" w:right="689"/>
        <w:jc w:val="both"/>
        <w:rPr>
          <w:rFonts w:ascii="Arial" w:hAnsi="Arial" w:cs="Arial"/>
          <w:i/>
          <w:sz w:val="22"/>
          <w:szCs w:val="22"/>
          <w:lang w:val="es-CR"/>
        </w:rPr>
      </w:pPr>
      <w:r w:rsidRPr="00795328">
        <w:rPr>
          <w:rFonts w:ascii="Arial" w:hAnsi="Arial" w:cs="Arial"/>
          <w:i/>
          <w:sz w:val="22"/>
          <w:szCs w:val="22"/>
          <w:lang w:val="es-CR"/>
        </w:rPr>
        <w:t>Evacuar las consultas a que se refiere el Artículo 88 de la Constitución Política de la República”.</w:t>
      </w:r>
      <w:bookmarkStart w:id="0" w:name="_GoBack"/>
      <w:bookmarkEnd w:id="0"/>
    </w:p>
    <w:p w:rsidR="00795328" w:rsidRPr="00795328" w:rsidRDefault="00795328" w:rsidP="00795328">
      <w:pPr>
        <w:keepNext/>
        <w:spacing w:before="240" w:after="60"/>
        <w:jc w:val="both"/>
        <w:outlineLvl w:val="0"/>
        <w:rPr>
          <w:rFonts w:ascii="Arial" w:hAnsi="Arial" w:cs="Arial"/>
          <w:b/>
          <w:bCs/>
          <w:kern w:val="32"/>
        </w:rPr>
      </w:pPr>
      <w:r w:rsidRPr="00795328">
        <w:rPr>
          <w:rFonts w:ascii="Arial" w:hAnsi="Arial" w:cs="Arial"/>
          <w:b/>
          <w:bCs/>
          <w:kern w:val="32"/>
        </w:rPr>
        <w:t>CONSIDERANDO QUE:</w:t>
      </w:r>
    </w:p>
    <w:p w:rsidR="00795328" w:rsidRPr="00795328" w:rsidRDefault="00795328" w:rsidP="00795328">
      <w:pPr>
        <w:jc w:val="both"/>
      </w:pPr>
    </w:p>
    <w:p w:rsidR="00795328" w:rsidRPr="00795328" w:rsidRDefault="00795328" w:rsidP="00795328">
      <w:pPr>
        <w:numPr>
          <w:ilvl w:val="0"/>
          <w:numId w:val="18"/>
        </w:numPr>
        <w:ind w:left="284" w:hanging="284"/>
        <w:contextualSpacing/>
        <w:jc w:val="both"/>
        <w:rPr>
          <w:rFonts w:ascii="Arial" w:hAnsi="Arial" w:cs="Arial"/>
          <w:b/>
          <w:lang w:val="es-CR"/>
        </w:rPr>
      </w:pPr>
      <w:r w:rsidRPr="00795328">
        <w:rPr>
          <w:rFonts w:ascii="Arial" w:hAnsi="Arial" w:cs="Arial"/>
          <w:lang w:val="es-CR"/>
        </w:rPr>
        <w:t>La Secretaría del Consejo Institucional recibió mediante correo electrónico de parte de Asamblea Legislativa, dirigido al Dr. Julio C. Calvo Alvarado, en calidad de Rector de la Institución, la solicitud de criterio sobre el texto sustitutivo sobre el Proyecto “Ley de Protección del Derecho a la Nacionalidad de la Persona Indígena Transfronteriza y Garantía de Integración de la Persona Indígena Transfronteriza”. Expediente No. 20.554.</w:t>
      </w:r>
    </w:p>
    <w:p w:rsidR="00795328" w:rsidRPr="00795328" w:rsidRDefault="00795328" w:rsidP="00795328">
      <w:pPr>
        <w:ind w:left="284" w:hanging="284"/>
        <w:contextualSpacing/>
        <w:jc w:val="both"/>
        <w:rPr>
          <w:rFonts w:ascii="Arial" w:hAnsi="Arial" w:cs="Arial"/>
          <w:lang w:val="es-CR"/>
        </w:rPr>
      </w:pPr>
    </w:p>
    <w:p w:rsidR="00795328" w:rsidRPr="00795328" w:rsidRDefault="00795328" w:rsidP="00795328">
      <w:pPr>
        <w:numPr>
          <w:ilvl w:val="0"/>
          <w:numId w:val="18"/>
        </w:numPr>
        <w:ind w:left="284" w:hanging="284"/>
        <w:jc w:val="both"/>
        <w:rPr>
          <w:rFonts w:ascii="Arial" w:hAnsi="Arial" w:cs="Arial"/>
          <w:lang w:val="es-CR"/>
        </w:rPr>
      </w:pPr>
      <w:r w:rsidRPr="00795328">
        <w:rPr>
          <w:rFonts w:ascii="Arial" w:hAnsi="Arial" w:cs="Arial"/>
          <w:lang w:val="es-CR"/>
        </w:rPr>
        <w:t xml:space="preserve">La recepción del expediente consultado, fue conocida en la Sesión No. 3113 del Consejo Institucional, y se acordó trasladarla a la Asesoría Legal, a la Escuela de </w:t>
      </w:r>
      <w:r w:rsidRPr="00795328">
        <w:rPr>
          <w:rFonts w:ascii="Arial" w:hAnsi="Arial" w:cs="Arial"/>
          <w:lang w:val="es-CR"/>
        </w:rPr>
        <w:lastRenderedPageBreak/>
        <w:t xml:space="preserve">Ciencias Sociales y al Área de Gestión de Salvaguarda de los Pueblos Indígenas, para la emisión de su criterio sobre el tema. </w:t>
      </w:r>
    </w:p>
    <w:p w:rsidR="00795328" w:rsidRPr="00795328" w:rsidRDefault="00795328" w:rsidP="00795328">
      <w:pPr>
        <w:ind w:left="284" w:hanging="284"/>
        <w:jc w:val="both"/>
        <w:rPr>
          <w:rFonts w:ascii="Arial" w:hAnsi="Arial" w:cs="Arial"/>
          <w:lang w:val="es-CR"/>
        </w:rPr>
      </w:pPr>
    </w:p>
    <w:p w:rsidR="00795328" w:rsidRPr="00795328" w:rsidRDefault="00795328" w:rsidP="00795328">
      <w:pPr>
        <w:numPr>
          <w:ilvl w:val="0"/>
          <w:numId w:val="18"/>
        </w:numPr>
        <w:ind w:left="284" w:hanging="284"/>
        <w:jc w:val="both"/>
        <w:rPr>
          <w:rFonts w:ascii="Arial" w:hAnsi="Arial" w:cs="Arial"/>
          <w:lang w:val="es-CR"/>
        </w:rPr>
      </w:pPr>
      <w:r w:rsidRPr="00795328">
        <w:rPr>
          <w:rFonts w:ascii="Arial" w:hAnsi="Arial" w:cs="Arial"/>
          <w:lang w:val="es-CR"/>
        </w:rPr>
        <w:t xml:space="preserve">La Secretaría del Consejo Institucional recibió oficios, que contienen los criterios de las dependencias de la Institución, que fueron consultadas. </w:t>
      </w:r>
    </w:p>
    <w:p w:rsidR="00795328" w:rsidRPr="00795328" w:rsidRDefault="00795328" w:rsidP="00795328">
      <w:pPr>
        <w:jc w:val="both"/>
        <w:rPr>
          <w:rFonts w:ascii="Arial" w:hAnsi="Arial" w:cs="Arial"/>
          <w:lang w:val="es-CR"/>
        </w:rPr>
      </w:pPr>
    </w:p>
    <w:p w:rsidR="00795328" w:rsidRPr="00795328" w:rsidRDefault="00795328" w:rsidP="00795328">
      <w:pPr>
        <w:keepNext/>
        <w:keepLines/>
        <w:spacing w:before="40"/>
        <w:outlineLvl w:val="1"/>
        <w:rPr>
          <w:rFonts w:ascii="Arial" w:eastAsiaTheme="majorEastAsia" w:hAnsi="Arial" w:cs="Arial"/>
          <w:b/>
          <w:bCs/>
          <w:kern w:val="32"/>
        </w:rPr>
      </w:pPr>
      <w:r w:rsidRPr="00795328">
        <w:rPr>
          <w:rFonts w:ascii="Arial" w:hAnsi="Arial" w:cs="Arial"/>
          <w:b/>
          <w:bCs/>
          <w:kern w:val="32"/>
        </w:rPr>
        <w:t>SE</w:t>
      </w:r>
      <w:r>
        <w:rPr>
          <w:rFonts w:ascii="Arial" w:hAnsi="Arial" w:cs="Arial"/>
          <w:b/>
          <w:bCs/>
          <w:kern w:val="32"/>
        </w:rPr>
        <w:t xml:space="preserve"> ACUERDA</w:t>
      </w:r>
      <w:r w:rsidRPr="00795328">
        <w:rPr>
          <w:rFonts w:ascii="Arial" w:hAnsi="Arial" w:cs="Arial"/>
          <w:b/>
          <w:bCs/>
          <w:kern w:val="32"/>
        </w:rPr>
        <w:t>:</w:t>
      </w:r>
    </w:p>
    <w:p w:rsidR="00795328" w:rsidRPr="00795328" w:rsidRDefault="00795328" w:rsidP="00795328"/>
    <w:p w:rsidR="00795328" w:rsidRPr="00795328" w:rsidRDefault="00795328" w:rsidP="00795328">
      <w:pPr>
        <w:numPr>
          <w:ilvl w:val="0"/>
          <w:numId w:val="19"/>
        </w:numPr>
        <w:ind w:left="426" w:hanging="426"/>
        <w:jc w:val="both"/>
        <w:rPr>
          <w:rFonts w:ascii="Arial" w:eastAsia="Cambria" w:hAnsi="Arial" w:cs="Arial"/>
          <w:lang w:eastAsia="en-US"/>
        </w:rPr>
      </w:pPr>
      <w:r w:rsidRPr="00795328">
        <w:rPr>
          <w:rFonts w:ascii="Arial" w:eastAsia="Cambria" w:hAnsi="Arial" w:cs="Arial"/>
          <w:lang w:eastAsia="en-US"/>
        </w:rPr>
        <w:t>Comunicar a la Comisión Permanente Especial de Derechos Humanos de la Asamblea Legislativa, las observaciones que se detallan a continuación, para el proyecto consultado:</w:t>
      </w:r>
    </w:p>
    <w:p w:rsidR="00795328" w:rsidRPr="00795328" w:rsidRDefault="00795328" w:rsidP="00795328">
      <w:pPr>
        <w:autoSpaceDE w:val="0"/>
        <w:autoSpaceDN w:val="0"/>
        <w:adjustRightInd w:val="0"/>
        <w:ind w:right="-91"/>
        <w:jc w:val="both"/>
        <w:rPr>
          <w:rFonts w:ascii="Arial" w:eastAsia="Cambria" w:hAnsi="Arial" w:cs="Arial"/>
          <w:sz w:val="22"/>
          <w:szCs w:val="22"/>
          <w:lang w:eastAsia="en-US"/>
        </w:rPr>
      </w:pPr>
    </w:p>
    <w:tbl>
      <w:tblPr>
        <w:tblStyle w:val="Tablaconcuadrcula14"/>
        <w:tblW w:w="9777" w:type="dxa"/>
        <w:tblLayout w:type="fixed"/>
        <w:tblLook w:val="04A0" w:firstRow="1" w:lastRow="0" w:firstColumn="1" w:lastColumn="0" w:noHBand="0" w:noVBand="1"/>
      </w:tblPr>
      <w:tblGrid>
        <w:gridCol w:w="1554"/>
        <w:gridCol w:w="2836"/>
        <w:gridCol w:w="1984"/>
        <w:gridCol w:w="3403"/>
      </w:tblGrid>
      <w:tr w:rsidR="00795328" w:rsidRPr="00795328" w:rsidTr="00A52E0B">
        <w:tc>
          <w:tcPr>
            <w:tcW w:w="1554" w:type="dxa"/>
          </w:tcPr>
          <w:p w:rsidR="00795328" w:rsidRPr="00795328" w:rsidRDefault="00795328" w:rsidP="00795328">
            <w:pPr>
              <w:autoSpaceDE w:val="0"/>
              <w:autoSpaceDN w:val="0"/>
              <w:adjustRightInd w:val="0"/>
              <w:ind w:right="-91"/>
              <w:jc w:val="center"/>
              <w:rPr>
                <w:rFonts w:ascii="Arial" w:eastAsia="Cambria" w:hAnsi="Arial" w:cs="Arial"/>
                <w:b/>
                <w:sz w:val="22"/>
                <w:szCs w:val="22"/>
                <w:lang w:eastAsia="en-US"/>
              </w:rPr>
            </w:pPr>
            <w:r w:rsidRPr="00795328">
              <w:rPr>
                <w:rFonts w:ascii="Arial" w:eastAsia="Cambria" w:hAnsi="Arial" w:cs="Arial"/>
                <w:b/>
                <w:sz w:val="22"/>
                <w:szCs w:val="22"/>
                <w:lang w:eastAsia="en-US"/>
              </w:rPr>
              <w:t>No. Expediente</w:t>
            </w:r>
          </w:p>
        </w:tc>
        <w:tc>
          <w:tcPr>
            <w:tcW w:w="2836" w:type="dxa"/>
          </w:tcPr>
          <w:p w:rsidR="00795328" w:rsidRPr="00795328" w:rsidRDefault="00795328" w:rsidP="00795328">
            <w:pPr>
              <w:autoSpaceDE w:val="0"/>
              <w:autoSpaceDN w:val="0"/>
              <w:adjustRightInd w:val="0"/>
              <w:ind w:right="-91"/>
              <w:jc w:val="center"/>
              <w:rPr>
                <w:rFonts w:ascii="Arial" w:eastAsia="Cambria" w:hAnsi="Arial" w:cs="Arial"/>
                <w:b/>
                <w:sz w:val="22"/>
                <w:szCs w:val="22"/>
                <w:lang w:eastAsia="en-US"/>
              </w:rPr>
            </w:pPr>
            <w:r w:rsidRPr="00795328">
              <w:rPr>
                <w:rFonts w:ascii="Arial" w:eastAsia="Cambria" w:hAnsi="Arial" w:cs="Arial"/>
                <w:b/>
                <w:sz w:val="22"/>
                <w:szCs w:val="22"/>
                <w:lang w:eastAsia="en-US"/>
              </w:rPr>
              <w:t>Nombre del Proyecto</w:t>
            </w:r>
          </w:p>
        </w:tc>
        <w:tc>
          <w:tcPr>
            <w:tcW w:w="1984" w:type="dxa"/>
          </w:tcPr>
          <w:p w:rsidR="00795328" w:rsidRPr="00795328" w:rsidRDefault="00795328" w:rsidP="00795328">
            <w:pPr>
              <w:autoSpaceDE w:val="0"/>
              <w:autoSpaceDN w:val="0"/>
              <w:adjustRightInd w:val="0"/>
              <w:ind w:right="-91"/>
              <w:jc w:val="center"/>
              <w:rPr>
                <w:rFonts w:ascii="Arial" w:eastAsia="Cambria" w:hAnsi="Arial" w:cs="Arial"/>
                <w:b/>
                <w:sz w:val="22"/>
                <w:szCs w:val="22"/>
                <w:lang w:eastAsia="en-US"/>
              </w:rPr>
            </w:pPr>
            <w:r w:rsidRPr="00795328">
              <w:rPr>
                <w:rFonts w:ascii="Arial" w:eastAsia="Cambria" w:hAnsi="Arial" w:cs="Arial"/>
                <w:b/>
                <w:sz w:val="22"/>
                <w:szCs w:val="22"/>
                <w:lang w:eastAsia="en-US"/>
              </w:rPr>
              <w:t>Transgrede o no la Autonomía Universitaria</w:t>
            </w:r>
          </w:p>
        </w:tc>
        <w:tc>
          <w:tcPr>
            <w:tcW w:w="3403" w:type="dxa"/>
          </w:tcPr>
          <w:p w:rsidR="00795328" w:rsidRPr="00795328" w:rsidRDefault="00795328" w:rsidP="00795328">
            <w:pPr>
              <w:autoSpaceDE w:val="0"/>
              <w:autoSpaceDN w:val="0"/>
              <w:adjustRightInd w:val="0"/>
              <w:ind w:right="-91"/>
              <w:jc w:val="center"/>
              <w:rPr>
                <w:rFonts w:ascii="Arial" w:eastAsia="Cambria" w:hAnsi="Arial" w:cs="Arial"/>
                <w:b/>
                <w:sz w:val="22"/>
                <w:szCs w:val="22"/>
                <w:lang w:eastAsia="en-US"/>
              </w:rPr>
            </w:pPr>
            <w:r w:rsidRPr="00795328">
              <w:rPr>
                <w:rFonts w:ascii="Arial" w:eastAsia="Cambria" w:hAnsi="Arial" w:cs="Arial"/>
                <w:b/>
                <w:sz w:val="22"/>
                <w:szCs w:val="22"/>
                <w:lang w:eastAsia="en-US"/>
              </w:rPr>
              <w:t>Observaciones de las diferentes entidades institucionales consultadas</w:t>
            </w:r>
          </w:p>
        </w:tc>
      </w:tr>
      <w:tr w:rsidR="00795328" w:rsidRPr="00795328" w:rsidTr="00A52E0B">
        <w:tc>
          <w:tcPr>
            <w:tcW w:w="1554" w:type="dxa"/>
          </w:tcPr>
          <w:p w:rsidR="00795328" w:rsidRPr="00795328" w:rsidRDefault="00795328" w:rsidP="00795328">
            <w:pPr>
              <w:autoSpaceDE w:val="0"/>
              <w:autoSpaceDN w:val="0"/>
              <w:adjustRightInd w:val="0"/>
              <w:ind w:right="-91"/>
              <w:jc w:val="center"/>
              <w:rPr>
                <w:rFonts w:ascii="Arial" w:eastAsia="Cambria" w:hAnsi="Arial" w:cs="Arial"/>
                <w:b/>
                <w:sz w:val="22"/>
                <w:szCs w:val="22"/>
                <w:lang w:eastAsia="en-US"/>
              </w:rPr>
            </w:pPr>
            <w:r w:rsidRPr="00795328">
              <w:rPr>
                <w:rFonts w:ascii="Arial" w:hAnsi="Arial" w:cs="Arial"/>
                <w:b/>
                <w:sz w:val="22"/>
                <w:szCs w:val="22"/>
              </w:rPr>
              <w:t>20.554</w:t>
            </w:r>
          </w:p>
        </w:tc>
        <w:tc>
          <w:tcPr>
            <w:tcW w:w="2836" w:type="dxa"/>
          </w:tcPr>
          <w:p w:rsidR="00795328" w:rsidRPr="00795328" w:rsidRDefault="00795328" w:rsidP="00795328">
            <w:pPr>
              <w:autoSpaceDE w:val="0"/>
              <w:autoSpaceDN w:val="0"/>
              <w:adjustRightInd w:val="0"/>
              <w:ind w:right="37"/>
              <w:jc w:val="both"/>
              <w:rPr>
                <w:rFonts w:ascii="Arial" w:eastAsia="Cambria" w:hAnsi="Arial" w:cs="Arial"/>
                <w:sz w:val="22"/>
                <w:szCs w:val="22"/>
                <w:lang w:eastAsia="en-US"/>
              </w:rPr>
            </w:pPr>
            <w:r w:rsidRPr="00795328">
              <w:rPr>
                <w:rFonts w:ascii="Arial" w:hAnsi="Arial" w:cs="Arial"/>
                <w:b/>
                <w:sz w:val="22"/>
                <w:szCs w:val="22"/>
              </w:rPr>
              <w:t>Proyecto “Ley de Protección del Derecho a la Nacionalidad de la Persona Indígena Transfronteriza y Garantía de Integración de la Persona Indígena Transfronteriza”  (texto sustitutivo)</w:t>
            </w:r>
          </w:p>
        </w:tc>
        <w:tc>
          <w:tcPr>
            <w:tcW w:w="1984" w:type="dxa"/>
          </w:tcPr>
          <w:p w:rsidR="00795328" w:rsidRPr="00795328" w:rsidRDefault="00795328" w:rsidP="00795328">
            <w:pPr>
              <w:autoSpaceDE w:val="0"/>
              <w:autoSpaceDN w:val="0"/>
              <w:adjustRightInd w:val="0"/>
              <w:ind w:right="-91"/>
              <w:jc w:val="center"/>
              <w:rPr>
                <w:rFonts w:ascii="Arial" w:eastAsia="Cambria" w:hAnsi="Arial" w:cs="Arial"/>
                <w:sz w:val="22"/>
                <w:szCs w:val="22"/>
                <w:lang w:eastAsia="en-US"/>
              </w:rPr>
            </w:pPr>
            <w:r w:rsidRPr="00795328">
              <w:rPr>
                <w:rFonts w:ascii="Arial" w:eastAsia="Cambria" w:hAnsi="Arial" w:cs="Arial"/>
                <w:sz w:val="22"/>
                <w:szCs w:val="22"/>
                <w:lang w:eastAsia="en-US"/>
              </w:rPr>
              <w:t>No</w:t>
            </w:r>
          </w:p>
        </w:tc>
        <w:tc>
          <w:tcPr>
            <w:tcW w:w="3403" w:type="dxa"/>
          </w:tcPr>
          <w:p w:rsidR="00795328" w:rsidRPr="00795328" w:rsidRDefault="00795328" w:rsidP="00795328">
            <w:pPr>
              <w:autoSpaceDE w:val="0"/>
              <w:autoSpaceDN w:val="0"/>
              <w:adjustRightInd w:val="0"/>
              <w:ind w:right="-91"/>
              <w:rPr>
                <w:rFonts w:ascii="Arial" w:eastAsia="Cambria" w:hAnsi="Arial" w:cs="Arial"/>
                <w:b/>
                <w:sz w:val="22"/>
                <w:szCs w:val="22"/>
                <w:u w:val="single"/>
                <w:lang w:eastAsia="en-US"/>
              </w:rPr>
            </w:pPr>
            <w:r w:rsidRPr="00795328">
              <w:rPr>
                <w:rFonts w:ascii="Arial" w:eastAsia="Cambria" w:hAnsi="Arial" w:cs="Arial"/>
                <w:b/>
                <w:sz w:val="22"/>
                <w:szCs w:val="22"/>
                <w:u w:val="single"/>
                <w:lang w:eastAsia="en-US"/>
              </w:rPr>
              <w:t>Oficina de Asesoría Legal</w:t>
            </w:r>
          </w:p>
          <w:p w:rsidR="00795328" w:rsidRPr="00795328" w:rsidRDefault="00795328" w:rsidP="00795328">
            <w:pPr>
              <w:jc w:val="both"/>
              <w:rPr>
                <w:rFonts w:ascii="Arial" w:hAnsi="Arial" w:cs="Arial"/>
                <w:sz w:val="22"/>
                <w:szCs w:val="22"/>
              </w:rPr>
            </w:pPr>
          </w:p>
          <w:p w:rsidR="00795328" w:rsidRPr="00795328" w:rsidRDefault="00795328" w:rsidP="00795328">
            <w:pPr>
              <w:spacing w:after="160" w:line="259" w:lineRule="auto"/>
              <w:contextualSpacing/>
              <w:jc w:val="both"/>
              <w:rPr>
                <w:rFonts w:ascii="Arial" w:hAnsi="Arial" w:cs="Arial"/>
                <w:i/>
                <w:sz w:val="22"/>
                <w:szCs w:val="22"/>
              </w:rPr>
            </w:pPr>
            <w:r w:rsidRPr="00795328">
              <w:rPr>
                <w:rFonts w:ascii="Arial" w:hAnsi="Arial" w:cs="Arial"/>
                <w:i/>
                <w:sz w:val="22"/>
                <w:szCs w:val="22"/>
              </w:rPr>
              <w:t>“Se considera que la presente iniciativa no tiene elementos que comprometan la autonomía del Instituto Tecnológico de Costa Rica.   Bajo esta óptica, se estima que no existe inconveniente en apoyar el proyecto.”</w:t>
            </w:r>
          </w:p>
          <w:p w:rsidR="00795328" w:rsidRPr="00795328" w:rsidRDefault="00795328" w:rsidP="00795328">
            <w:pPr>
              <w:spacing w:after="160" w:line="259" w:lineRule="auto"/>
              <w:contextualSpacing/>
              <w:jc w:val="both"/>
              <w:rPr>
                <w:rFonts w:ascii="Arial" w:hAnsi="Arial" w:cs="Arial"/>
                <w:i/>
                <w:sz w:val="22"/>
                <w:szCs w:val="22"/>
              </w:rPr>
            </w:pPr>
          </w:p>
          <w:p w:rsidR="00795328" w:rsidRPr="00795328" w:rsidRDefault="00795328" w:rsidP="00795328">
            <w:pPr>
              <w:autoSpaceDE w:val="0"/>
              <w:autoSpaceDN w:val="0"/>
              <w:adjustRightInd w:val="0"/>
              <w:ind w:right="-91"/>
              <w:rPr>
                <w:rFonts w:ascii="Arial" w:eastAsia="Cambria" w:hAnsi="Arial" w:cs="Arial"/>
                <w:b/>
                <w:sz w:val="22"/>
                <w:szCs w:val="22"/>
                <w:u w:val="single"/>
                <w:lang w:eastAsia="en-US"/>
              </w:rPr>
            </w:pPr>
            <w:r w:rsidRPr="00795328">
              <w:rPr>
                <w:rFonts w:ascii="Arial" w:eastAsia="Cambria" w:hAnsi="Arial" w:cs="Arial"/>
                <w:b/>
                <w:sz w:val="22"/>
                <w:szCs w:val="22"/>
                <w:u w:val="single"/>
                <w:lang w:eastAsia="en-US"/>
              </w:rPr>
              <w:t>Escuela de Ciencias Sociales</w:t>
            </w:r>
          </w:p>
          <w:p w:rsidR="00795328" w:rsidRPr="00795328" w:rsidRDefault="00795328" w:rsidP="00795328">
            <w:pPr>
              <w:spacing w:before="152" w:after="227"/>
              <w:jc w:val="both"/>
              <w:rPr>
                <w:rFonts w:ascii="Arial" w:hAnsi="Arial" w:cs="Arial"/>
                <w:i/>
                <w:color w:val="000000"/>
                <w:sz w:val="22"/>
                <w:szCs w:val="22"/>
              </w:rPr>
            </w:pPr>
            <w:r w:rsidRPr="00795328">
              <w:rPr>
                <w:rFonts w:ascii="Arial" w:hAnsi="Arial" w:cs="Arial"/>
                <w:i/>
                <w:color w:val="000000"/>
                <w:sz w:val="22"/>
                <w:szCs w:val="22"/>
              </w:rPr>
              <w:t>“Indicar si apoya o no el Proyecto y las razones que justifican no apoyarlo</w:t>
            </w:r>
          </w:p>
          <w:p w:rsidR="00795328" w:rsidRPr="00795328" w:rsidRDefault="00795328" w:rsidP="00795328">
            <w:pPr>
              <w:spacing w:before="152" w:after="227"/>
              <w:jc w:val="both"/>
              <w:rPr>
                <w:rFonts w:ascii="Arial" w:hAnsi="Arial" w:cs="Arial"/>
                <w:i/>
                <w:color w:val="000000"/>
                <w:sz w:val="22"/>
                <w:szCs w:val="22"/>
              </w:rPr>
            </w:pPr>
            <w:r w:rsidRPr="00795328">
              <w:rPr>
                <w:rFonts w:ascii="Arial" w:hAnsi="Arial" w:cs="Arial"/>
                <w:i/>
                <w:color w:val="000000"/>
                <w:sz w:val="22"/>
                <w:szCs w:val="22"/>
              </w:rPr>
              <w:t>Sí, el proyecto es pertinente y necesario. Atiende una deuda histórica con las poblaciones indígenas.”</w:t>
            </w:r>
          </w:p>
          <w:p w:rsidR="00795328" w:rsidRPr="00795328" w:rsidRDefault="00795328" w:rsidP="00795328">
            <w:pPr>
              <w:autoSpaceDE w:val="0"/>
              <w:autoSpaceDN w:val="0"/>
              <w:adjustRightInd w:val="0"/>
              <w:jc w:val="both"/>
              <w:rPr>
                <w:rFonts w:ascii="Arial" w:eastAsia="Cambria" w:hAnsi="Arial" w:cs="Arial"/>
                <w:b/>
                <w:sz w:val="22"/>
                <w:szCs w:val="22"/>
                <w:u w:val="single"/>
                <w:lang w:eastAsia="en-US"/>
              </w:rPr>
            </w:pPr>
            <w:r w:rsidRPr="00795328">
              <w:rPr>
                <w:rFonts w:ascii="Arial" w:eastAsia="Cambria" w:hAnsi="Arial" w:cs="Arial"/>
                <w:b/>
                <w:sz w:val="22"/>
                <w:szCs w:val="22"/>
                <w:u w:val="single"/>
                <w:lang w:eastAsia="en-US"/>
              </w:rPr>
              <w:t>Área de Gestión de Salvaguarda de los Pueblos Indígenas</w:t>
            </w:r>
          </w:p>
          <w:p w:rsidR="00795328" w:rsidRPr="00795328" w:rsidRDefault="00795328" w:rsidP="00795328">
            <w:pPr>
              <w:contextualSpacing/>
              <w:jc w:val="both"/>
              <w:rPr>
                <w:rFonts w:ascii="Arial" w:hAnsi="Arial" w:cs="Arial"/>
                <w:i/>
                <w:sz w:val="22"/>
                <w:szCs w:val="22"/>
              </w:rPr>
            </w:pPr>
          </w:p>
          <w:p w:rsidR="00795328" w:rsidRPr="00795328" w:rsidRDefault="00795328" w:rsidP="00795328">
            <w:pPr>
              <w:jc w:val="both"/>
              <w:rPr>
                <w:rFonts w:ascii="Arial" w:hAnsi="Arial" w:cs="Arial"/>
                <w:i/>
                <w:color w:val="000000"/>
                <w:sz w:val="22"/>
                <w:szCs w:val="22"/>
              </w:rPr>
            </w:pPr>
            <w:r w:rsidRPr="00795328">
              <w:rPr>
                <w:rFonts w:ascii="Arial" w:hAnsi="Arial" w:cs="Arial"/>
                <w:i/>
                <w:color w:val="000000"/>
                <w:sz w:val="22"/>
                <w:szCs w:val="22"/>
              </w:rPr>
              <w:t xml:space="preserve">“Se recomienda al Consejo Institucional avalar la aprobación de la Ley, considerando que se fundamenta en lo establecido no solo en la Constitución Política del país, sino en la normativa internacional suscrita por Costa Rica y que vela por los Derechos Humanos de los Pueblos Indígenas.” </w:t>
            </w:r>
          </w:p>
          <w:p w:rsidR="00795328" w:rsidRPr="00795328" w:rsidRDefault="00795328" w:rsidP="00795328">
            <w:pPr>
              <w:spacing w:after="160" w:line="259" w:lineRule="auto"/>
              <w:contextualSpacing/>
              <w:jc w:val="both"/>
              <w:rPr>
                <w:rFonts w:ascii="Arial" w:hAnsi="Arial" w:cs="Arial"/>
                <w:i/>
                <w:sz w:val="22"/>
                <w:szCs w:val="22"/>
              </w:rPr>
            </w:pPr>
          </w:p>
        </w:tc>
      </w:tr>
    </w:tbl>
    <w:p w:rsidR="002E7062" w:rsidRDefault="002E7062" w:rsidP="007742A1">
      <w:pPr>
        <w:jc w:val="both"/>
        <w:rPr>
          <w:rFonts w:ascii="Arial" w:eastAsia="Cambria" w:hAnsi="Arial" w:cs="Arial"/>
          <w:lang w:val="es-ES_tradnl" w:eastAsia="en-US"/>
        </w:rPr>
      </w:pPr>
    </w:p>
    <w:p w:rsidR="00215C41" w:rsidRDefault="00BB6A5E" w:rsidP="00795328">
      <w:pPr>
        <w:numPr>
          <w:ilvl w:val="0"/>
          <w:numId w:val="19"/>
        </w:numPr>
        <w:ind w:left="426" w:hanging="426"/>
        <w:jc w:val="both"/>
        <w:rPr>
          <w:rFonts w:ascii="Arial" w:hAnsi="Arial" w:cs="Arial"/>
          <w:b/>
          <w:lang w:val="es-CR"/>
        </w:rPr>
      </w:pPr>
      <w:r w:rsidRPr="002E7062">
        <w:rPr>
          <w:rFonts w:ascii="Arial" w:eastAsia="Cambria" w:hAnsi="Arial" w:cs="Arial"/>
          <w:lang w:eastAsia="en-US"/>
        </w:rPr>
        <w:lastRenderedPageBreak/>
        <w:t>Comunicar</w:t>
      </w:r>
      <w:r w:rsidRPr="002E7062">
        <w:rPr>
          <w:rFonts w:ascii="Arial" w:hAnsi="Arial" w:cs="Arial"/>
          <w:lang w:val="es-CR"/>
        </w:rPr>
        <w:t xml:space="preserve">. </w:t>
      </w:r>
      <w:r w:rsidRPr="002E7062">
        <w:rPr>
          <w:rFonts w:ascii="Arial" w:hAnsi="Arial" w:cs="Arial"/>
          <w:b/>
          <w:lang w:val="es-CR"/>
        </w:rPr>
        <w:t xml:space="preserve"> ACUERDO FIRME.</w:t>
      </w:r>
    </w:p>
    <w:p w:rsidR="00DB4D29" w:rsidRDefault="00DB4D29" w:rsidP="00DB4D29">
      <w:pPr>
        <w:jc w:val="both"/>
        <w:rPr>
          <w:rFonts w:ascii="Arial" w:hAnsi="Arial" w:cs="Arial"/>
          <w:b/>
          <w:lang w:val="es-CR"/>
        </w:rPr>
      </w:pPr>
    </w:p>
    <w:p w:rsidR="00795328" w:rsidRPr="00795328" w:rsidRDefault="00795328" w:rsidP="00795328">
      <w:pPr>
        <w:autoSpaceDE w:val="0"/>
        <w:autoSpaceDN w:val="0"/>
        <w:adjustRightInd w:val="0"/>
        <w:ind w:right="-91"/>
        <w:jc w:val="both"/>
        <w:rPr>
          <w:rFonts w:ascii="Arial" w:hAnsi="Arial" w:cs="Arial"/>
          <w:b/>
          <w:sz w:val="22"/>
          <w:szCs w:val="22"/>
          <w:lang w:val="es-CR"/>
        </w:rPr>
      </w:pPr>
      <w:r w:rsidRPr="00795328">
        <w:rPr>
          <w:rFonts w:ascii="Arial" w:hAnsi="Arial" w:cs="Arial"/>
          <w:b/>
          <w:sz w:val="22"/>
          <w:szCs w:val="22"/>
          <w:lang w:val="es-CR"/>
        </w:rPr>
        <w:t xml:space="preserve">PALABRAS CLAVE:   </w:t>
      </w:r>
      <w:r w:rsidRPr="00795328">
        <w:rPr>
          <w:rFonts w:ascii="Arial" w:hAnsi="Arial" w:cs="Arial"/>
          <w:sz w:val="22"/>
          <w:szCs w:val="22"/>
          <w:lang w:val="es-CR"/>
        </w:rPr>
        <w:t xml:space="preserve">Proyectos – Ley- </w:t>
      </w:r>
      <w:proofErr w:type="spellStart"/>
      <w:r w:rsidRPr="00795328">
        <w:rPr>
          <w:rFonts w:ascii="Arial" w:hAnsi="Arial" w:cs="Arial"/>
          <w:sz w:val="22"/>
          <w:szCs w:val="22"/>
          <w:lang w:val="es-CR"/>
        </w:rPr>
        <w:t>Exp</w:t>
      </w:r>
      <w:proofErr w:type="spellEnd"/>
      <w:r w:rsidRPr="00795328">
        <w:rPr>
          <w:rFonts w:ascii="Arial" w:hAnsi="Arial" w:cs="Arial"/>
          <w:sz w:val="22"/>
          <w:szCs w:val="22"/>
          <w:lang w:val="es-CR"/>
        </w:rPr>
        <w:t>. 20.554</w:t>
      </w:r>
    </w:p>
    <w:p w:rsidR="00795328" w:rsidRPr="00795328" w:rsidRDefault="00795328" w:rsidP="00795328">
      <w:pPr>
        <w:jc w:val="both"/>
        <w:rPr>
          <w:rFonts w:ascii="Arial" w:eastAsia="Cambria" w:hAnsi="Arial" w:cs="Arial"/>
          <w:lang w:val="es-CR" w:eastAsia="en-US"/>
        </w:rPr>
      </w:pPr>
    </w:p>
    <w:p w:rsidR="00DB4D29" w:rsidRDefault="00DB4D29" w:rsidP="00DB4D29">
      <w:pPr>
        <w:jc w:val="both"/>
        <w:rPr>
          <w:rFonts w:ascii="Arial" w:hAnsi="Arial" w:cs="Arial"/>
          <w:b/>
          <w:lang w:val="es-CR"/>
        </w:rPr>
      </w:pPr>
    </w:p>
    <w:bookmarkStart w:id="1" w:name="_MON_1618644379"/>
    <w:bookmarkEnd w:id="1"/>
    <w:p w:rsidR="00795328" w:rsidRPr="00795328" w:rsidRDefault="00795328" w:rsidP="00795328">
      <w:pPr>
        <w:rPr>
          <w:rFonts w:ascii="Arial" w:hAnsi="Arial" w:cs="Arial"/>
          <w:b/>
          <w:lang w:val="pt-BR"/>
        </w:rPr>
      </w:pPr>
      <w:r w:rsidRPr="00795328">
        <w:rPr>
          <w:rFonts w:ascii="Arial" w:hAnsi="Arial" w:cs="Arial"/>
          <w:b/>
          <w:lang w:val="pt-BR"/>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618821155" r:id="rId9">
            <o:FieldCodes>\s</o:FieldCodes>
          </o:OLEObject>
        </w:object>
      </w:r>
      <w:r w:rsidRPr="00795328">
        <w:rPr>
          <w:rFonts w:ascii="Arial" w:hAnsi="Arial" w:cs="Arial"/>
          <w:b/>
          <w:lang w:val="pt-BR"/>
        </w:rPr>
        <w:tab/>
      </w:r>
      <w:bookmarkStart w:id="2" w:name="_MON_1618644419"/>
      <w:bookmarkEnd w:id="2"/>
      <w:r w:rsidRPr="00795328">
        <w:rPr>
          <w:rFonts w:ascii="Arial" w:hAnsi="Arial" w:cs="Arial"/>
          <w:b/>
          <w:lang w:val="pt-BR"/>
        </w:rPr>
        <w:object w:dxaOrig="1539" w:dyaOrig="994">
          <v:shape id="_x0000_i1026" type="#_x0000_t75" style="width:77.25pt;height:49.5pt" o:ole="">
            <v:imagedata r:id="rId10" o:title=""/>
          </v:shape>
          <o:OLEObject Type="Embed" ProgID="Word.Document.8" ShapeID="_x0000_i1026" DrawAspect="Icon" ObjectID="_1618821156" r:id="rId11">
            <o:FieldCodes>\s</o:FieldCodes>
          </o:OLEObject>
        </w:object>
      </w:r>
      <w:r w:rsidRPr="00795328">
        <w:rPr>
          <w:rFonts w:ascii="Arial" w:hAnsi="Arial" w:cs="Arial"/>
          <w:b/>
          <w:lang w:val="pt-BR"/>
        </w:rPr>
        <w:tab/>
      </w:r>
      <w:r w:rsidRPr="00795328">
        <w:rPr>
          <w:rFonts w:ascii="Arial" w:hAnsi="Arial" w:cs="Arial"/>
          <w:b/>
          <w:lang w:val="pt-BR"/>
        </w:rPr>
        <w:object w:dxaOrig="1539" w:dyaOrig="994">
          <v:shape id="_x0000_i1027" type="#_x0000_t75" style="width:77.25pt;height:49.5pt" o:ole="">
            <v:imagedata r:id="rId12" o:title=""/>
          </v:shape>
          <o:OLEObject Type="Link" ProgID="Word.Document.12" ShapeID="_x0000_i1027" DrawAspect="Icon" r:id="rId13" UpdateMode="Always">
            <o:LinkType>EnhancedMetaFile</o:LinkType>
            <o:LockedField>false</o:LockedField>
            <o:FieldCodes>\f 0</o:FieldCodes>
          </o:OLEObject>
        </w:object>
      </w:r>
    </w:p>
    <w:p w:rsidR="009E28A0" w:rsidRDefault="009E28A0" w:rsidP="009E28A0">
      <w:pPr>
        <w:jc w:val="both"/>
        <w:rPr>
          <w:rFonts w:ascii="Arial" w:hAnsi="Arial" w:cs="Arial"/>
          <w:b/>
          <w:lang w:val="es-CR"/>
        </w:rPr>
      </w:pPr>
    </w:p>
    <w:p w:rsidR="002E7062" w:rsidRDefault="002E7062" w:rsidP="009E28A0">
      <w:pPr>
        <w:autoSpaceDE w:val="0"/>
        <w:autoSpaceDN w:val="0"/>
        <w:adjustRightInd w:val="0"/>
        <w:ind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337E83" w:rsidRPr="000F50B9" w:rsidRDefault="00337E83" w:rsidP="00CB0724">
      <w:pPr>
        <w:jc w:val="both"/>
        <w:rPr>
          <w:rFonts w:ascii="Arial" w:eastAsia="Cambria" w:hAnsi="Arial" w:cs="Arial"/>
          <w:b/>
          <w:sz w:val="18"/>
          <w:szCs w:val="18"/>
          <w:lang w:eastAsia="en-US"/>
        </w:rPr>
      </w:pPr>
    </w:p>
    <w:p w:rsidR="00337E83" w:rsidRDefault="00337E83" w:rsidP="008F6C51">
      <w:pPr>
        <w:jc w:val="both"/>
        <w:rPr>
          <w:rFonts w:ascii="Arial" w:eastAsia="Cambria" w:hAnsi="Arial" w:cs="Arial"/>
          <w:sz w:val="22"/>
          <w:szCs w:val="22"/>
          <w:lang w:val="es-CR" w:eastAsia="en-US"/>
        </w:rPr>
      </w:pPr>
      <w:r>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14"/>
      <w:footerReference w:type="default" r:id="rId15"/>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329" w:rsidRDefault="00497329">
      <w:r>
        <w:separator/>
      </w:r>
    </w:p>
  </w:endnote>
  <w:endnote w:type="continuationSeparator" w:id="0">
    <w:p w:rsidR="00497329" w:rsidRDefault="0049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329" w:rsidRDefault="00497329">
      <w:r>
        <w:separator/>
      </w:r>
    </w:p>
  </w:footnote>
  <w:footnote w:type="continuationSeparator" w:id="0">
    <w:p w:rsidR="00497329" w:rsidRDefault="0049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8F6C51">
      <w:rPr>
        <w:rFonts w:ascii="Arial" w:eastAsia="Cambria" w:hAnsi="Arial" w:cs="Arial"/>
        <w:i/>
        <w:sz w:val="18"/>
        <w:szCs w:val="18"/>
        <w:lang w:val="es-ES_tradnl" w:eastAsia="x-none"/>
      </w:rPr>
      <w:t>1</w:t>
    </w:r>
    <w:r w:rsidR="00F34A79">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F34A79">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34A79">
      <w:rPr>
        <w:rFonts w:ascii="Arial" w:eastAsia="Cambria" w:hAnsi="Arial" w:cs="Arial"/>
        <w:i/>
        <w:sz w:val="18"/>
        <w:szCs w:val="18"/>
        <w:lang w:val="es-ES_tradnl" w:eastAsia="x-none"/>
      </w:rPr>
      <w:t xml:space="preserve">08 de mayo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95328">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5" w15:restartNumberingAfterBreak="0">
    <w:nsid w:val="14FD5102"/>
    <w:multiLevelType w:val="hybridMultilevel"/>
    <w:tmpl w:val="0472F944"/>
    <w:lvl w:ilvl="0" w:tplc="3ED000D8">
      <w:start w:val="1"/>
      <w:numFmt w:val="decimal"/>
      <w:lvlText w:val="%1."/>
      <w:lvlJc w:val="left"/>
      <w:pPr>
        <w:ind w:left="360" w:hanging="360"/>
      </w:pPr>
      <w:rPr>
        <w:rFonts w:ascii="Arial" w:hAnsi="Arial" w:cs="Arial"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C98258D"/>
    <w:multiLevelType w:val="hybridMultilevel"/>
    <w:tmpl w:val="206C2AAA"/>
    <w:lvl w:ilvl="0" w:tplc="DC727E2E">
      <w:start w:val="1"/>
      <w:numFmt w:val="decimal"/>
      <w:lvlText w:val="%1."/>
      <w:lvlJc w:val="left"/>
      <w:pPr>
        <w:ind w:left="720" w:hanging="360"/>
      </w:pPr>
      <w:rPr>
        <w:b/>
      </w:rPr>
    </w:lvl>
    <w:lvl w:ilvl="1" w:tplc="225210E6">
      <w:start w:val="1"/>
      <w:numFmt w:val="decimal"/>
      <w:lvlText w:val="%2."/>
      <w:lvlJc w:val="left"/>
      <w:pPr>
        <w:ind w:left="1440" w:hanging="360"/>
      </w:pPr>
      <w:rPr>
        <w:b/>
        <w:i w:val="0"/>
        <w:sz w:val="22"/>
        <w:szCs w:val="22"/>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1A01BF"/>
    <w:multiLevelType w:val="hybridMultilevel"/>
    <w:tmpl w:val="39CCA3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6"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15:restartNumberingAfterBreak="0">
    <w:nsid w:val="422250AA"/>
    <w:multiLevelType w:val="hybridMultilevel"/>
    <w:tmpl w:val="969EDA02"/>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0"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1949F0"/>
    <w:multiLevelType w:val="hybridMultilevel"/>
    <w:tmpl w:val="7D5EE5F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F0D5C4C"/>
    <w:multiLevelType w:val="hybridMultilevel"/>
    <w:tmpl w:val="F760D500"/>
    <w:lvl w:ilvl="0" w:tplc="096232B6">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1CC46C7"/>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E81E83"/>
    <w:multiLevelType w:val="hybridMultilevel"/>
    <w:tmpl w:val="9C48E862"/>
    <w:lvl w:ilvl="0" w:tplc="FDE4C5FA">
      <w:start w:val="1"/>
      <w:numFmt w:val="lowerLetter"/>
      <w:lvlText w:val="%1."/>
      <w:lvlJc w:val="left"/>
      <w:pPr>
        <w:ind w:left="436" w:hanging="360"/>
      </w:pPr>
      <w:rPr>
        <w:rFonts w:cs="TTE1865388t00" w:hint="default"/>
        <w:b/>
        <w:i w:val="0"/>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26"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D75DAD"/>
    <w:multiLevelType w:val="hybridMultilevel"/>
    <w:tmpl w:val="C392701C"/>
    <w:lvl w:ilvl="0" w:tplc="2ED40224">
      <w:start w:val="1"/>
      <w:numFmt w:val="lowerLetter"/>
      <w:lvlText w:val="%1."/>
      <w:lvlJc w:val="left"/>
      <w:pPr>
        <w:ind w:left="720" w:hanging="360"/>
      </w:pPr>
      <w:rPr>
        <w:b/>
      </w:rPr>
    </w:lvl>
    <w:lvl w:ilvl="1" w:tplc="140A0013">
      <w:start w:val="1"/>
      <w:numFmt w:val="upp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4DA320A"/>
    <w:multiLevelType w:val="hybridMultilevel"/>
    <w:tmpl w:val="C3F41444"/>
    <w:lvl w:ilvl="0" w:tplc="DC727E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8"/>
  </w:num>
  <w:num w:numId="7">
    <w:abstractNumId w:val="18"/>
  </w:num>
  <w:num w:numId="8">
    <w:abstractNumId w:val="20"/>
  </w:num>
  <w:num w:numId="9">
    <w:abstractNumId w:val="11"/>
  </w:num>
  <w:num w:numId="10">
    <w:abstractNumId w:val="13"/>
  </w:num>
  <w:num w:numId="11">
    <w:abstractNumId w:val="28"/>
  </w:num>
  <w:num w:numId="12">
    <w:abstractNumId w:val="10"/>
  </w:num>
  <w:num w:numId="13">
    <w:abstractNumId w:val="3"/>
  </w:num>
  <w:num w:numId="14">
    <w:abstractNumId w:val="15"/>
  </w:num>
  <w:num w:numId="15">
    <w:abstractNumId w:val="17"/>
  </w:num>
  <w:num w:numId="16">
    <w:abstractNumId w:val="4"/>
  </w:num>
  <w:num w:numId="17">
    <w:abstractNumId w:val="23"/>
  </w:num>
  <w:num w:numId="18">
    <w:abstractNumId w:val="16"/>
  </w:num>
  <w:num w:numId="19">
    <w:abstractNumId w:val="12"/>
  </w:num>
  <w:num w:numId="20">
    <w:abstractNumId w:val="24"/>
  </w:num>
  <w:num w:numId="21">
    <w:abstractNumId w:val="30"/>
  </w:num>
  <w:num w:numId="22">
    <w:abstractNumId w:val="25"/>
  </w:num>
  <w:num w:numId="23">
    <w:abstractNumId w:val="14"/>
  </w:num>
  <w:num w:numId="24">
    <w:abstractNumId w:val="29"/>
  </w:num>
  <w:num w:numId="25">
    <w:abstractNumId w:val="26"/>
  </w:num>
  <w:num w:numId="26">
    <w:abstractNumId w:val="31"/>
  </w:num>
  <w:num w:numId="27">
    <w:abstractNumId w:val="27"/>
  </w:num>
  <w:num w:numId="28">
    <w:abstractNumId w:val="5"/>
  </w:num>
  <w:num w:numId="29">
    <w:abstractNumId w:val="19"/>
  </w:num>
  <w:num w:numId="30">
    <w:abstractNumId w:val="7"/>
  </w:num>
  <w:num w:numId="31">
    <w:abstractNumId w:val="22"/>
  </w:num>
  <w:num w:numId="3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37459"/>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0B9"/>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5B3B"/>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13A5"/>
    <w:rsid w:val="00332808"/>
    <w:rsid w:val="00333402"/>
    <w:rsid w:val="00334300"/>
    <w:rsid w:val="00336F05"/>
    <w:rsid w:val="00337455"/>
    <w:rsid w:val="00337E83"/>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580"/>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3ECC"/>
    <w:rsid w:val="004945D5"/>
    <w:rsid w:val="004947BD"/>
    <w:rsid w:val="00495B4F"/>
    <w:rsid w:val="00497329"/>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57C9"/>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329C"/>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0CAC"/>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6A88"/>
    <w:rsid w:val="006F7054"/>
    <w:rsid w:val="006F736E"/>
    <w:rsid w:val="006F7C62"/>
    <w:rsid w:val="00700643"/>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28"/>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646"/>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845"/>
    <w:rsid w:val="00931FBC"/>
    <w:rsid w:val="00932C87"/>
    <w:rsid w:val="009401C7"/>
    <w:rsid w:val="00945C56"/>
    <w:rsid w:val="009462DD"/>
    <w:rsid w:val="009526A4"/>
    <w:rsid w:val="00952F8F"/>
    <w:rsid w:val="00953265"/>
    <w:rsid w:val="00953CA5"/>
    <w:rsid w:val="009546D0"/>
    <w:rsid w:val="009561A9"/>
    <w:rsid w:val="00956670"/>
    <w:rsid w:val="0096004A"/>
    <w:rsid w:val="009600BB"/>
    <w:rsid w:val="00961770"/>
    <w:rsid w:val="00961D14"/>
    <w:rsid w:val="00962660"/>
    <w:rsid w:val="00963F04"/>
    <w:rsid w:val="00964B8E"/>
    <w:rsid w:val="009651B9"/>
    <w:rsid w:val="00967CC7"/>
    <w:rsid w:val="00971830"/>
    <w:rsid w:val="0097202A"/>
    <w:rsid w:val="00972E3C"/>
    <w:rsid w:val="00974D66"/>
    <w:rsid w:val="009750E5"/>
    <w:rsid w:val="0097601A"/>
    <w:rsid w:val="0097636F"/>
    <w:rsid w:val="009766BD"/>
    <w:rsid w:val="00976EA8"/>
    <w:rsid w:val="009775C5"/>
    <w:rsid w:val="0098075C"/>
    <w:rsid w:val="0098130D"/>
    <w:rsid w:val="00985EBE"/>
    <w:rsid w:val="009860F5"/>
    <w:rsid w:val="00990B7F"/>
    <w:rsid w:val="009912AB"/>
    <w:rsid w:val="00992545"/>
    <w:rsid w:val="00994C10"/>
    <w:rsid w:val="00995F34"/>
    <w:rsid w:val="00997041"/>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28A0"/>
    <w:rsid w:val="009E53A3"/>
    <w:rsid w:val="009E5AB7"/>
    <w:rsid w:val="009E65F6"/>
    <w:rsid w:val="009E74DA"/>
    <w:rsid w:val="009F18FD"/>
    <w:rsid w:val="009F2039"/>
    <w:rsid w:val="009F26A6"/>
    <w:rsid w:val="009F2D9A"/>
    <w:rsid w:val="009F4734"/>
    <w:rsid w:val="009F4B6B"/>
    <w:rsid w:val="009F58D0"/>
    <w:rsid w:val="009F79DC"/>
    <w:rsid w:val="00A00BFA"/>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7AE"/>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545F"/>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4D29"/>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525"/>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277A1"/>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4B0E"/>
    <w:rsid w:val="00E5768A"/>
    <w:rsid w:val="00E5779F"/>
    <w:rsid w:val="00E57A60"/>
    <w:rsid w:val="00E61736"/>
    <w:rsid w:val="00E61CDC"/>
    <w:rsid w:val="00E6487C"/>
    <w:rsid w:val="00E64C9D"/>
    <w:rsid w:val="00E6544B"/>
    <w:rsid w:val="00E65876"/>
    <w:rsid w:val="00E70574"/>
    <w:rsid w:val="00E718A6"/>
    <w:rsid w:val="00E80FBE"/>
    <w:rsid w:val="00E818A8"/>
    <w:rsid w:val="00E81E9F"/>
    <w:rsid w:val="00E82183"/>
    <w:rsid w:val="00E84C74"/>
    <w:rsid w:val="00E85F6A"/>
    <w:rsid w:val="00E8679F"/>
    <w:rsid w:val="00E9069C"/>
    <w:rsid w:val="00E909DA"/>
    <w:rsid w:val="00E913FF"/>
    <w:rsid w:val="00E9331A"/>
    <w:rsid w:val="00E94D0E"/>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44D"/>
    <w:rsid w:val="00F23EFD"/>
    <w:rsid w:val="00F245F7"/>
    <w:rsid w:val="00F25DC2"/>
    <w:rsid w:val="00F30E9B"/>
    <w:rsid w:val="00F3442B"/>
    <w:rsid w:val="00F34A79"/>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4FB"/>
    <w:rsid w:val="00FA4749"/>
    <w:rsid w:val="00FA53B1"/>
    <w:rsid w:val="00FA6F2C"/>
    <w:rsid w:val="00FB0CC5"/>
    <w:rsid w:val="00FB0D21"/>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C1A6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E28A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795328"/>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97390857">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itcr.ac.cr\datos\sci\Documentos_SCI_2\PROYECTOS%20DE%20LEY\2019\Textos\Proyecto%20de%20Ley%20No.%2020.554\TSS-PPIQ-07-2019%20Proyecto%20Ley%20Migracione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Documento_de_Microsoft_Word_97-2003.doc"/><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ocumento_de_Microsoft_Word.docx"/><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40A83-F095-4E4A-82FE-C4041426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Pages>
  <Words>636</Words>
  <Characters>3499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128</cp:revision>
  <cp:lastPrinted>2019-03-27T19:34:00Z</cp:lastPrinted>
  <dcterms:created xsi:type="dcterms:W3CDTF">2018-05-02T21:37:00Z</dcterms:created>
  <dcterms:modified xsi:type="dcterms:W3CDTF">2019-05-08T17:46:00Z</dcterms:modified>
</cp:coreProperties>
</file>