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067AE">
        <w:rPr>
          <w:rFonts w:ascii="Arial" w:hAnsi="Arial" w:cs="Arial"/>
          <w:b/>
          <w:bCs/>
          <w:iCs/>
          <w:sz w:val="26"/>
          <w:szCs w:val="22"/>
          <w:lang w:val="es-CR"/>
        </w:rPr>
        <w:t>299</w:t>
      </w:r>
      <w:bookmarkStart w:id="0" w:name="_GoBack"/>
      <w:bookmarkEnd w:id="0"/>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Pr="009E28A0" w:rsidRDefault="009E28A0"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 xml:space="preserve"> </w:t>
            </w:r>
            <w:r w:rsidR="007A1C46"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E277A1" w:rsidRPr="009E28A0" w:rsidRDefault="009E28A0" w:rsidP="006D0CAC">
            <w:pPr>
              <w:ind w:left="45"/>
              <w:jc w:val="both"/>
              <w:rPr>
                <w:rFonts w:ascii="Arial" w:eastAsia="Cambria" w:hAnsi="Arial" w:cs="Arial"/>
                <w:sz w:val="22"/>
                <w:szCs w:val="22"/>
                <w:lang w:eastAsia="en-US"/>
              </w:rPr>
            </w:pPr>
            <w:r>
              <w:rPr>
                <w:rFonts w:ascii="Arial" w:eastAsia="Cambria" w:hAnsi="Arial" w:cs="Arial"/>
                <w:sz w:val="22"/>
                <w:szCs w:val="22"/>
                <w:lang w:eastAsia="en-US"/>
              </w:rPr>
              <w:t xml:space="preserve">Señores </w:t>
            </w:r>
            <w:r w:rsidRPr="009E28A0">
              <w:rPr>
                <w:rFonts w:ascii="Arial" w:eastAsia="Cambria" w:hAnsi="Arial" w:cs="Arial"/>
                <w:sz w:val="22"/>
                <w:szCs w:val="22"/>
                <w:lang w:eastAsia="en-US"/>
              </w:rPr>
              <w:t>Comisión Permanente Ordinaria de Asuntos Hacendarios</w:t>
            </w:r>
          </w:p>
          <w:p w:rsidR="009E28A0" w:rsidRDefault="009E28A0" w:rsidP="006D0CAC">
            <w:pPr>
              <w:ind w:left="45"/>
              <w:jc w:val="both"/>
              <w:rPr>
                <w:rFonts w:ascii="Arial" w:eastAsia="Cambria" w:hAnsi="Arial" w:cs="Arial"/>
                <w:sz w:val="22"/>
                <w:szCs w:val="22"/>
                <w:lang w:eastAsia="en-US"/>
              </w:rPr>
            </w:pPr>
            <w:r>
              <w:rPr>
                <w:rFonts w:ascii="Arial" w:eastAsia="Cambria" w:hAnsi="Arial" w:cs="Arial"/>
                <w:sz w:val="22"/>
                <w:szCs w:val="22"/>
                <w:lang w:eastAsia="en-US"/>
              </w:rPr>
              <w:t xml:space="preserve">Señores </w:t>
            </w:r>
            <w:r w:rsidRPr="009E28A0">
              <w:rPr>
                <w:rFonts w:ascii="Arial" w:eastAsia="Cambria" w:hAnsi="Arial" w:cs="Arial"/>
                <w:sz w:val="22"/>
                <w:szCs w:val="22"/>
                <w:lang w:eastAsia="en-US"/>
              </w:rPr>
              <w:t>Comisión Permanente Especial de Asuntos</w:t>
            </w:r>
            <w:r>
              <w:rPr>
                <w:rFonts w:ascii="Arial" w:eastAsia="Cambria" w:hAnsi="Arial" w:cs="Arial"/>
                <w:sz w:val="22"/>
                <w:szCs w:val="22"/>
                <w:lang w:eastAsia="en-US"/>
              </w:rPr>
              <w:t xml:space="preserve"> de Discapacidad y Adulto Mayor</w:t>
            </w:r>
          </w:p>
          <w:p w:rsidR="009E28A0" w:rsidRPr="009E28A0" w:rsidRDefault="009E28A0" w:rsidP="006D0CAC">
            <w:pPr>
              <w:ind w:left="45"/>
              <w:jc w:val="both"/>
              <w:rPr>
                <w:rFonts w:ascii="Arial" w:eastAsia="Cambria" w:hAnsi="Arial" w:cs="Arial"/>
                <w:sz w:val="22"/>
                <w:szCs w:val="22"/>
                <w:lang w:eastAsia="en-US"/>
              </w:rPr>
            </w:pPr>
            <w:r>
              <w:rPr>
                <w:rFonts w:ascii="Arial" w:eastAsia="Cambria" w:hAnsi="Arial" w:cs="Arial"/>
                <w:sz w:val="22"/>
                <w:szCs w:val="22"/>
                <w:lang w:eastAsia="en-US"/>
              </w:rPr>
              <w:t xml:space="preserve">Señores </w:t>
            </w:r>
            <w:r w:rsidRPr="009E28A0">
              <w:rPr>
                <w:rFonts w:ascii="Arial" w:eastAsia="Cambria" w:hAnsi="Arial" w:cs="Arial"/>
                <w:sz w:val="22"/>
                <w:szCs w:val="22"/>
                <w:lang w:eastAsia="en-US"/>
              </w:rPr>
              <w:t>Comisión Especial de Ambiente</w:t>
            </w:r>
          </w:p>
          <w:p w:rsidR="009E28A0" w:rsidRPr="009E28A0" w:rsidRDefault="009E28A0" w:rsidP="006D0CAC">
            <w:pPr>
              <w:ind w:left="45"/>
              <w:jc w:val="both"/>
              <w:rPr>
                <w:rFonts w:ascii="Arial" w:eastAsia="Cambria" w:hAnsi="Arial" w:cs="Arial"/>
                <w:sz w:val="22"/>
                <w:szCs w:val="22"/>
                <w:lang w:eastAsia="en-US"/>
              </w:rPr>
            </w:pPr>
            <w:r>
              <w:rPr>
                <w:rFonts w:ascii="Arial" w:eastAsia="Cambria" w:hAnsi="Arial" w:cs="Arial"/>
                <w:sz w:val="22"/>
                <w:szCs w:val="22"/>
                <w:lang w:eastAsia="en-US"/>
              </w:rPr>
              <w:t xml:space="preserve">Señores </w:t>
            </w:r>
            <w:r w:rsidRPr="009E28A0">
              <w:rPr>
                <w:rFonts w:ascii="Arial" w:eastAsia="Cambria" w:hAnsi="Arial" w:cs="Arial"/>
                <w:sz w:val="22"/>
                <w:szCs w:val="22"/>
                <w:lang w:eastAsia="en-US"/>
              </w:rPr>
              <w:t>Comisión Permanente Especial de Derechos Humanos</w:t>
            </w:r>
          </w:p>
          <w:p w:rsidR="009E28A0" w:rsidRPr="009E28A0" w:rsidRDefault="009E28A0" w:rsidP="006D0CAC">
            <w:pPr>
              <w:ind w:left="45"/>
              <w:jc w:val="both"/>
              <w:rPr>
                <w:rFonts w:ascii="Arial" w:eastAsia="Cambria" w:hAnsi="Arial" w:cs="Arial"/>
                <w:sz w:val="22"/>
                <w:szCs w:val="22"/>
                <w:lang w:eastAsia="en-US"/>
              </w:rPr>
            </w:pPr>
            <w:r>
              <w:rPr>
                <w:rFonts w:ascii="Arial" w:eastAsia="Cambria" w:hAnsi="Arial" w:cs="Arial"/>
                <w:sz w:val="22"/>
                <w:szCs w:val="22"/>
                <w:lang w:eastAsia="en-US"/>
              </w:rPr>
              <w:t xml:space="preserve">Señores </w:t>
            </w:r>
            <w:r w:rsidRPr="009E28A0">
              <w:rPr>
                <w:rFonts w:ascii="Arial" w:eastAsia="Cambria" w:hAnsi="Arial" w:cs="Arial"/>
                <w:sz w:val="22"/>
                <w:szCs w:val="22"/>
                <w:lang w:eastAsia="en-US"/>
              </w:rPr>
              <w:t>Comisión Permanente Ordinaria de Asuntos Económicos</w:t>
            </w:r>
          </w:p>
          <w:p w:rsidR="009E28A0" w:rsidRPr="009E28A0" w:rsidRDefault="009E28A0" w:rsidP="006D0CAC">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D0CA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0857E5">
              <w:rPr>
                <w:rFonts w:ascii="Arial" w:eastAsia="Cambria" w:hAnsi="Arial" w:cs="Arial"/>
                <w:b/>
                <w:sz w:val="22"/>
                <w:szCs w:val="22"/>
                <w:lang w:val="es-ES_tradnl" w:eastAsia="en-US"/>
              </w:rPr>
              <w:t xml:space="preserve"> de </w:t>
            </w:r>
            <w:r w:rsidR="00E818A8">
              <w:rPr>
                <w:rFonts w:ascii="Arial" w:eastAsia="Cambria" w:hAnsi="Arial" w:cs="Arial"/>
                <w:b/>
                <w:sz w:val="22"/>
                <w:szCs w:val="22"/>
                <w:lang w:val="es-ES_tradnl" w:eastAsia="en-US"/>
              </w:rPr>
              <w:t>abril</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E818A8"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818A8" w:rsidRDefault="00FF209C" w:rsidP="006D0CAC">
            <w:pPr>
              <w:autoSpaceDE w:val="0"/>
              <w:autoSpaceDN w:val="0"/>
              <w:adjustRightInd w:val="0"/>
              <w:ind w:right="-91"/>
              <w:jc w:val="both"/>
              <w:rPr>
                <w:rFonts w:ascii="Arial" w:hAnsi="Arial" w:cs="Arial"/>
                <w:b/>
                <w:lang w:val="es-CR"/>
              </w:rPr>
            </w:pPr>
            <w:r w:rsidRPr="00E818A8">
              <w:rPr>
                <w:rFonts w:ascii="Arial" w:eastAsia="Calibri" w:hAnsi="Arial" w:cs="Arial"/>
                <w:b/>
                <w:sz w:val="22"/>
                <w:szCs w:val="22"/>
              </w:rPr>
              <w:t>S</w:t>
            </w:r>
            <w:r w:rsidR="007742A1" w:rsidRPr="00E818A8">
              <w:rPr>
                <w:rFonts w:ascii="Arial" w:eastAsia="Calibri" w:hAnsi="Arial" w:cs="Arial"/>
                <w:b/>
                <w:sz w:val="22"/>
                <w:szCs w:val="22"/>
              </w:rPr>
              <w:t xml:space="preserve">esión Ordinaria No. </w:t>
            </w:r>
            <w:r w:rsidR="00337455" w:rsidRPr="00E818A8">
              <w:rPr>
                <w:rFonts w:ascii="Arial" w:eastAsia="Calibri" w:hAnsi="Arial" w:cs="Arial"/>
                <w:b/>
                <w:sz w:val="22"/>
                <w:szCs w:val="22"/>
              </w:rPr>
              <w:t>3</w:t>
            </w:r>
            <w:r w:rsidR="003F3400" w:rsidRPr="00E818A8">
              <w:rPr>
                <w:rFonts w:ascii="Arial" w:eastAsia="Calibri" w:hAnsi="Arial" w:cs="Arial"/>
                <w:b/>
                <w:sz w:val="22"/>
                <w:szCs w:val="22"/>
              </w:rPr>
              <w:t>1</w:t>
            </w:r>
            <w:r w:rsidR="008F6C51" w:rsidRPr="00E818A8">
              <w:rPr>
                <w:rFonts w:ascii="Arial" w:eastAsia="Calibri" w:hAnsi="Arial" w:cs="Arial"/>
                <w:b/>
                <w:sz w:val="22"/>
                <w:szCs w:val="22"/>
              </w:rPr>
              <w:t>1</w:t>
            </w:r>
            <w:r w:rsidR="006D0CAC">
              <w:rPr>
                <w:rFonts w:ascii="Arial" w:eastAsia="Calibri" w:hAnsi="Arial" w:cs="Arial"/>
                <w:b/>
                <w:sz w:val="22"/>
                <w:szCs w:val="22"/>
              </w:rPr>
              <w:t>4</w:t>
            </w:r>
            <w:r w:rsidR="007742A1" w:rsidRPr="00E818A8">
              <w:rPr>
                <w:rFonts w:ascii="Arial" w:eastAsia="Calibri" w:hAnsi="Arial" w:cs="Arial"/>
                <w:b/>
                <w:sz w:val="22"/>
                <w:szCs w:val="22"/>
              </w:rPr>
              <w:t>, Artículo</w:t>
            </w:r>
            <w:r w:rsidR="00A5669A" w:rsidRPr="00E818A8">
              <w:rPr>
                <w:rFonts w:ascii="Arial" w:eastAsia="Calibri" w:hAnsi="Arial" w:cs="Arial"/>
                <w:b/>
                <w:sz w:val="22"/>
                <w:szCs w:val="22"/>
              </w:rPr>
              <w:t xml:space="preserve"> </w:t>
            </w:r>
            <w:r w:rsidR="00E818A8" w:rsidRPr="00E818A8">
              <w:rPr>
                <w:rFonts w:ascii="Arial" w:eastAsia="Calibri" w:hAnsi="Arial" w:cs="Arial"/>
                <w:b/>
                <w:sz w:val="22"/>
                <w:szCs w:val="22"/>
              </w:rPr>
              <w:t>7</w:t>
            </w:r>
            <w:r w:rsidR="00FF3C43" w:rsidRPr="00E818A8">
              <w:rPr>
                <w:rFonts w:ascii="Arial" w:eastAsia="Calibri" w:hAnsi="Arial" w:cs="Arial"/>
                <w:b/>
                <w:sz w:val="22"/>
                <w:szCs w:val="22"/>
              </w:rPr>
              <w:t>,</w:t>
            </w:r>
            <w:r w:rsidR="007742A1" w:rsidRPr="00E818A8">
              <w:rPr>
                <w:rFonts w:ascii="Arial" w:eastAsia="Calibri" w:hAnsi="Arial" w:cs="Arial"/>
                <w:b/>
                <w:sz w:val="22"/>
                <w:szCs w:val="22"/>
              </w:rPr>
              <w:t xml:space="preserve"> del </w:t>
            </w:r>
            <w:r w:rsidR="006D0CAC">
              <w:rPr>
                <w:rFonts w:ascii="Arial" w:eastAsia="Calibri" w:hAnsi="Arial" w:cs="Arial"/>
                <w:b/>
                <w:sz w:val="22"/>
                <w:szCs w:val="22"/>
              </w:rPr>
              <w:t>24</w:t>
            </w:r>
            <w:r w:rsidR="000857E5" w:rsidRPr="00E818A8">
              <w:rPr>
                <w:rFonts w:ascii="Arial" w:eastAsia="Calibri" w:hAnsi="Arial" w:cs="Arial"/>
                <w:b/>
                <w:sz w:val="22"/>
                <w:szCs w:val="22"/>
              </w:rPr>
              <w:t xml:space="preserve"> de </w:t>
            </w:r>
            <w:r w:rsidR="00E818A8" w:rsidRPr="00E818A8">
              <w:rPr>
                <w:rFonts w:ascii="Arial" w:eastAsia="Calibri" w:hAnsi="Arial" w:cs="Arial"/>
                <w:b/>
                <w:sz w:val="22"/>
                <w:szCs w:val="22"/>
              </w:rPr>
              <w:t xml:space="preserve">abril </w:t>
            </w:r>
            <w:r w:rsidR="00A772EF" w:rsidRPr="00E818A8">
              <w:rPr>
                <w:rFonts w:ascii="Arial" w:eastAsia="Calibri" w:hAnsi="Arial" w:cs="Arial"/>
                <w:b/>
                <w:sz w:val="22"/>
                <w:szCs w:val="22"/>
              </w:rPr>
              <w:t>de 201</w:t>
            </w:r>
            <w:r w:rsidR="00AA61D4" w:rsidRPr="00E818A8">
              <w:rPr>
                <w:rFonts w:ascii="Arial" w:eastAsia="Calibri" w:hAnsi="Arial" w:cs="Arial"/>
                <w:b/>
                <w:sz w:val="22"/>
                <w:szCs w:val="22"/>
              </w:rPr>
              <w:t>9</w:t>
            </w:r>
            <w:r w:rsidR="00925985" w:rsidRPr="00E818A8">
              <w:rPr>
                <w:rFonts w:ascii="Arial" w:eastAsia="Calibri" w:hAnsi="Arial" w:cs="Arial"/>
                <w:b/>
                <w:sz w:val="22"/>
                <w:szCs w:val="22"/>
              </w:rPr>
              <w:t>.</w:t>
            </w:r>
            <w:r w:rsidR="008D4991" w:rsidRPr="00E818A8">
              <w:rPr>
                <w:rFonts w:ascii="Arial" w:eastAsia="Calibri" w:hAnsi="Arial" w:cs="Arial"/>
                <w:b/>
                <w:sz w:val="22"/>
                <w:szCs w:val="22"/>
              </w:rPr>
              <w:t xml:space="preserve"> </w:t>
            </w:r>
            <w:r w:rsidR="006D0CAC" w:rsidRPr="006D0CAC">
              <w:rPr>
                <w:rFonts w:ascii="Arial" w:eastAsia="Calibri" w:hAnsi="Arial" w:cs="Arial"/>
                <w:b/>
                <w:bCs/>
                <w:sz w:val="22"/>
                <w:szCs w:val="22"/>
                <w:lang w:val="es-CR" w:eastAsia="en-US"/>
              </w:rPr>
              <w:t>Pronunciamiento del Consejo Institucional de Proyectos de Ley Nos. 19.531, 20.840, 20.985, 21.031 y 21.160</w:t>
            </w:r>
            <w:r w:rsidR="004767B5" w:rsidRPr="00E818A8">
              <w:rPr>
                <w:rFonts w:ascii="Arial" w:eastAsia="Calibri" w:hAnsi="Arial" w:cs="Arial"/>
                <w:b/>
                <w:sz w:val="22"/>
                <w:szCs w:val="22"/>
              </w:rPr>
              <w:t xml:space="preserve">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54B0E" w:rsidRDefault="00E54B0E" w:rsidP="00E54B0E">
      <w:pPr>
        <w:tabs>
          <w:tab w:val="left" w:pos="3070"/>
        </w:tabs>
        <w:contextualSpacing/>
        <w:jc w:val="both"/>
        <w:outlineLvl w:val="0"/>
        <w:rPr>
          <w:rFonts w:ascii="Arial" w:hAnsi="Arial" w:cs="Arial"/>
          <w:b/>
          <w:lang w:val="es-CR"/>
        </w:rPr>
      </w:pPr>
    </w:p>
    <w:p w:rsidR="009E28A0" w:rsidRPr="009E28A0" w:rsidRDefault="009E28A0" w:rsidP="009E28A0">
      <w:pPr>
        <w:spacing w:after="200"/>
        <w:rPr>
          <w:rFonts w:ascii="Arial" w:hAnsi="Arial" w:cs="Arial"/>
          <w:b/>
          <w:bCs/>
          <w:i/>
          <w:iCs/>
          <w:kern w:val="32"/>
          <w:sz w:val="22"/>
          <w:szCs w:val="22"/>
        </w:rPr>
      </w:pPr>
      <w:r w:rsidRPr="009E28A0">
        <w:rPr>
          <w:rFonts w:ascii="Arial" w:hAnsi="Arial" w:cs="Arial"/>
          <w:b/>
          <w:bCs/>
          <w:kern w:val="32"/>
          <w:sz w:val="22"/>
          <w:szCs w:val="22"/>
        </w:rPr>
        <w:t>RESULTANDO QUE:</w:t>
      </w:r>
    </w:p>
    <w:p w:rsidR="009E28A0" w:rsidRPr="009E28A0" w:rsidRDefault="009E28A0" w:rsidP="009E28A0">
      <w:pPr>
        <w:numPr>
          <w:ilvl w:val="0"/>
          <w:numId w:val="15"/>
        </w:numPr>
        <w:ind w:left="360"/>
        <w:jc w:val="both"/>
        <w:rPr>
          <w:rFonts w:ascii="Arial" w:hAnsi="Arial" w:cs="Arial"/>
          <w:sz w:val="22"/>
          <w:szCs w:val="22"/>
          <w:lang w:val="es-CR"/>
        </w:rPr>
      </w:pPr>
      <w:r w:rsidRPr="009E28A0">
        <w:rPr>
          <w:rFonts w:ascii="Arial" w:hAnsi="Arial" w:cs="Arial"/>
          <w:sz w:val="22"/>
          <w:szCs w:val="22"/>
          <w:lang w:val="es-CR"/>
        </w:rPr>
        <w:t>El Artículo 88 de la Constitución Política de la República de Costa Rica prescribe:</w:t>
      </w:r>
    </w:p>
    <w:p w:rsidR="009E28A0" w:rsidRPr="009E28A0" w:rsidRDefault="009E28A0" w:rsidP="009E28A0">
      <w:pPr>
        <w:ind w:left="360"/>
        <w:jc w:val="both"/>
        <w:rPr>
          <w:rFonts w:ascii="Arial" w:hAnsi="Arial" w:cs="Arial"/>
          <w:sz w:val="22"/>
          <w:szCs w:val="22"/>
          <w:lang w:val="es-CR"/>
        </w:rPr>
      </w:pPr>
    </w:p>
    <w:p w:rsidR="009E28A0" w:rsidRPr="009E28A0" w:rsidRDefault="009E28A0" w:rsidP="009E28A0">
      <w:pPr>
        <w:ind w:left="1080" w:right="689"/>
        <w:jc w:val="both"/>
        <w:rPr>
          <w:rFonts w:ascii="Arial" w:hAnsi="Arial" w:cs="Arial"/>
          <w:i/>
          <w:sz w:val="22"/>
          <w:szCs w:val="22"/>
          <w:lang w:val="es-CR"/>
        </w:rPr>
      </w:pPr>
      <w:r w:rsidRPr="009E28A0">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9E28A0" w:rsidRPr="009E28A0" w:rsidRDefault="009E28A0" w:rsidP="009E28A0">
      <w:pPr>
        <w:ind w:left="1080" w:right="689"/>
        <w:jc w:val="both"/>
        <w:rPr>
          <w:rFonts w:ascii="Arial" w:hAnsi="Arial" w:cs="Arial"/>
          <w:i/>
          <w:sz w:val="22"/>
          <w:szCs w:val="22"/>
          <w:lang w:val="es-CR"/>
        </w:rPr>
      </w:pPr>
    </w:p>
    <w:p w:rsidR="009E28A0" w:rsidRPr="009E28A0" w:rsidRDefault="009E28A0" w:rsidP="009E28A0">
      <w:pPr>
        <w:numPr>
          <w:ilvl w:val="0"/>
          <w:numId w:val="15"/>
        </w:numPr>
        <w:ind w:left="360"/>
        <w:jc w:val="both"/>
        <w:rPr>
          <w:rFonts w:ascii="Arial" w:hAnsi="Arial" w:cs="Arial"/>
          <w:sz w:val="22"/>
          <w:szCs w:val="22"/>
          <w:lang w:val="es-CR"/>
        </w:rPr>
      </w:pPr>
      <w:r w:rsidRPr="009E28A0">
        <w:rPr>
          <w:rFonts w:ascii="Arial" w:hAnsi="Arial" w:cs="Arial"/>
          <w:sz w:val="22"/>
          <w:szCs w:val="22"/>
          <w:lang w:val="es-CR"/>
        </w:rPr>
        <w:t>El Estatuto Orgánico del Instituto Tecnológico de Costa Rica, en el Artículo 18, inciso i) señala:</w:t>
      </w:r>
    </w:p>
    <w:p w:rsidR="009E28A0" w:rsidRPr="009E28A0" w:rsidRDefault="009E28A0" w:rsidP="009E28A0">
      <w:pPr>
        <w:ind w:left="1080" w:right="689"/>
        <w:jc w:val="both"/>
        <w:rPr>
          <w:rFonts w:ascii="Arial" w:hAnsi="Arial" w:cs="Arial"/>
          <w:i/>
          <w:sz w:val="22"/>
          <w:szCs w:val="22"/>
          <w:lang w:val="es-CR"/>
        </w:rPr>
      </w:pPr>
    </w:p>
    <w:p w:rsidR="009E28A0" w:rsidRPr="009E28A0" w:rsidRDefault="009E28A0" w:rsidP="009E28A0">
      <w:pPr>
        <w:ind w:left="1080" w:right="689"/>
        <w:jc w:val="both"/>
        <w:rPr>
          <w:rFonts w:ascii="Arial" w:hAnsi="Arial" w:cs="Arial"/>
          <w:i/>
          <w:sz w:val="22"/>
          <w:szCs w:val="22"/>
          <w:lang w:val="es-CR"/>
        </w:rPr>
      </w:pPr>
      <w:r w:rsidRPr="009E28A0">
        <w:rPr>
          <w:rFonts w:ascii="Arial" w:hAnsi="Arial" w:cs="Arial"/>
          <w:i/>
          <w:sz w:val="22"/>
          <w:szCs w:val="22"/>
          <w:lang w:val="es-CR"/>
        </w:rPr>
        <w:t>“Son funciones del Consejo Institucional:</w:t>
      </w:r>
    </w:p>
    <w:p w:rsidR="009E28A0" w:rsidRPr="009E28A0" w:rsidRDefault="009E28A0" w:rsidP="009E28A0">
      <w:pPr>
        <w:ind w:left="1080" w:right="689"/>
        <w:jc w:val="both"/>
        <w:rPr>
          <w:rFonts w:ascii="Arial" w:hAnsi="Arial" w:cs="Arial"/>
          <w:i/>
          <w:sz w:val="22"/>
          <w:szCs w:val="22"/>
          <w:lang w:val="es-CR"/>
        </w:rPr>
      </w:pPr>
      <w:r w:rsidRPr="009E28A0">
        <w:rPr>
          <w:rFonts w:ascii="Arial" w:hAnsi="Arial" w:cs="Arial"/>
          <w:i/>
          <w:sz w:val="22"/>
          <w:szCs w:val="22"/>
          <w:lang w:val="es-CR"/>
        </w:rPr>
        <w:t>…</w:t>
      </w:r>
    </w:p>
    <w:p w:rsidR="009E28A0" w:rsidRPr="009E28A0" w:rsidRDefault="009E28A0" w:rsidP="009E28A0">
      <w:pPr>
        <w:ind w:left="1080" w:right="689"/>
        <w:jc w:val="both"/>
        <w:rPr>
          <w:rFonts w:ascii="Arial" w:hAnsi="Arial" w:cs="Arial"/>
          <w:i/>
          <w:sz w:val="22"/>
          <w:szCs w:val="22"/>
          <w:lang w:val="es-CR"/>
        </w:rPr>
      </w:pPr>
      <w:r w:rsidRPr="009E28A0">
        <w:rPr>
          <w:rFonts w:ascii="Arial" w:hAnsi="Arial" w:cs="Arial"/>
          <w:i/>
          <w:sz w:val="22"/>
          <w:szCs w:val="22"/>
          <w:lang w:val="es-CR"/>
        </w:rPr>
        <w:t>Evacuar las consultas a que se refiere el Artículo 88 de la Constitución Política de la República”.</w:t>
      </w:r>
    </w:p>
    <w:p w:rsidR="009E28A0" w:rsidRPr="009E28A0" w:rsidRDefault="009E28A0" w:rsidP="009E28A0">
      <w:pPr>
        <w:keepNext/>
        <w:spacing w:before="240" w:after="60"/>
        <w:jc w:val="both"/>
        <w:outlineLvl w:val="0"/>
        <w:rPr>
          <w:rFonts w:ascii="Arial" w:hAnsi="Arial" w:cs="Arial"/>
          <w:b/>
          <w:bCs/>
          <w:kern w:val="32"/>
          <w:sz w:val="22"/>
          <w:szCs w:val="22"/>
        </w:rPr>
      </w:pPr>
      <w:r w:rsidRPr="009E28A0">
        <w:rPr>
          <w:rFonts w:ascii="Arial" w:hAnsi="Arial" w:cs="Arial"/>
          <w:b/>
          <w:bCs/>
          <w:kern w:val="32"/>
          <w:sz w:val="22"/>
          <w:szCs w:val="22"/>
        </w:rPr>
        <w:t>CONSIDERANDO QUE:</w:t>
      </w:r>
    </w:p>
    <w:p w:rsidR="009E28A0" w:rsidRPr="009E28A0" w:rsidRDefault="009E28A0" w:rsidP="009E28A0">
      <w:pPr>
        <w:jc w:val="both"/>
        <w:rPr>
          <w:sz w:val="20"/>
          <w:szCs w:val="20"/>
        </w:rPr>
      </w:pPr>
    </w:p>
    <w:p w:rsidR="009E28A0" w:rsidRPr="009E28A0" w:rsidRDefault="009E28A0" w:rsidP="009E28A0">
      <w:pPr>
        <w:numPr>
          <w:ilvl w:val="0"/>
          <w:numId w:val="18"/>
        </w:numPr>
        <w:ind w:left="284" w:hanging="284"/>
        <w:contextualSpacing/>
        <w:jc w:val="both"/>
        <w:rPr>
          <w:rFonts w:ascii="Arial" w:hAnsi="Arial" w:cs="Arial"/>
          <w:b/>
          <w:sz w:val="22"/>
          <w:szCs w:val="22"/>
          <w:lang w:val="es-CR"/>
        </w:rPr>
      </w:pPr>
      <w:r w:rsidRPr="009E28A0">
        <w:rPr>
          <w:rFonts w:ascii="Arial" w:hAnsi="Arial" w:cs="Arial"/>
          <w:sz w:val="22"/>
          <w:szCs w:val="22"/>
          <w:lang w:val="es-CR"/>
        </w:rPr>
        <w:t>La Secretaría del Consejo Institucional recibió mediante correos electrónicos de parte de Asamblea Legislativa, dirigidos al Dr. Julio C. Calvo Alvarado, en calidad de Rector de la Institución, en los cuales se solicita criterio sobre los siguientes expedientes de Proyectos de Ley:   19.531, 20.840, 20.985, 21.031 y 21.160.</w:t>
      </w:r>
    </w:p>
    <w:p w:rsidR="009E28A0" w:rsidRPr="009E28A0" w:rsidRDefault="009E28A0" w:rsidP="009E28A0">
      <w:pPr>
        <w:ind w:left="284" w:hanging="284"/>
        <w:contextualSpacing/>
        <w:jc w:val="both"/>
        <w:rPr>
          <w:rFonts w:ascii="Arial" w:hAnsi="Arial" w:cs="Arial"/>
          <w:sz w:val="22"/>
          <w:szCs w:val="22"/>
          <w:lang w:val="es-CR"/>
        </w:rPr>
      </w:pPr>
    </w:p>
    <w:p w:rsidR="009E28A0" w:rsidRPr="009E28A0" w:rsidRDefault="009E28A0" w:rsidP="009E28A0">
      <w:pPr>
        <w:numPr>
          <w:ilvl w:val="0"/>
          <w:numId w:val="18"/>
        </w:numPr>
        <w:ind w:left="284" w:hanging="284"/>
        <w:jc w:val="both"/>
        <w:rPr>
          <w:rFonts w:ascii="Arial" w:hAnsi="Arial" w:cs="Arial"/>
          <w:sz w:val="22"/>
          <w:szCs w:val="22"/>
          <w:lang w:val="es-CR"/>
        </w:rPr>
      </w:pPr>
      <w:r w:rsidRPr="009E28A0">
        <w:rPr>
          <w:rFonts w:ascii="Arial" w:hAnsi="Arial" w:cs="Arial"/>
          <w:sz w:val="22"/>
          <w:szCs w:val="22"/>
          <w:lang w:val="es-CR"/>
        </w:rPr>
        <w:t xml:space="preserve">La recepción de los expedientes consultados, fue conocida en diferentes sesiones del Consejo Institucional, y se acordó trasladarlos algunas dependencias del TEC, para la emisión de su criterio sobre el tema. </w:t>
      </w:r>
    </w:p>
    <w:p w:rsidR="009E28A0" w:rsidRPr="009E28A0" w:rsidRDefault="009E28A0" w:rsidP="009E28A0">
      <w:pPr>
        <w:ind w:left="284" w:hanging="284"/>
        <w:jc w:val="both"/>
        <w:rPr>
          <w:rFonts w:ascii="Arial" w:hAnsi="Arial" w:cs="Arial"/>
          <w:sz w:val="22"/>
          <w:szCs w:val="22"/>
          <w:lang w:val="es-CR"/>
        </w:rPr>
      </w:pPr>
    </w:p>
    <w:p w:rsidR="009E28A0" w:rsidRPr="009E28A0" w:rsidRDefault="009E28A0" w:rsidP="009E28A0">
      <w:pPr>
        <w:numPr>
          <w:ilvl w:val="0"/>
          <w:numId w:val="18"/>
        </w:numPr>
        <w:ind w:left="284" w:hanging="284"/>
        <w:jc w:val="both"/>
        <w:rPr>
          <w:rFonts w:ascii="Arial" w:hAnsi="Arial" w:cs="Arial"/>
          <w:sz w:val="22"/>
          <w:szCs w:val="22"/>
          <w:lang w:val="es-CR"/>
        </w:rPr>
      </w:pPr>
      <w:r w:rsidRPr="009E28A0">
        <w:rPr>
          <w:rFonts w:ascii="Arial" w:hAnsi="Arial" w:cs="Arial"/>
          <w:sz w:val="22"/>
          <w:szCs w:val="22"/>
          <w:lang w:val="es-CR"/>
        </w:rPr>
        <w:lastRenderedPageBreak/>
        <w:t xml:space="preserve">La Secretaría del Consejo Institucional recibió oficios, que contienen los criterios de algunas de las dependencias de la Institución, que fueron consultadas. </w:t>
      </w:r>
    </w:p>
    <w:p w:rsidR="009E28A0" w:rsidRDefault="009E28A0" w:rsidP="009E28A0">
      <w:pPr>
        <w:keepNext/>
        <w:keepLines/>
        <w:spacing w:before="40"/>
        <w:outlineLvl w:val="1"/>
        <w:rPr>
          <w:rFonts w:ascii="Arial" w:hAnsi="Arial" w:cs="Arial"/>
          <w:b/>
          <w:bCs/>
          <w:kern w:val="32"/>
          <w:sz w:val="22"/>
          <w:szCs w:val="22"/>
        </w:rPr>
      </w:pPr>
    </w:p>
    <w:p w:rsidR="009E28A0" w:rsidRPr="009E28A0" w:rsidRDefault="009E28A0" w:rsidP="009E28A0">
      <w:pPr>
        <w:keepNext/>
        <w:keepLines/>
        <w:spacing w:before="40"/>
        <w:outlineLvl w:val="1"/>
        <w:rPr>
          <w:rFonts w:ascii="Arial" w:eastAsiaTheme="majorEastAsia" w:hAnsi="Arial" w:cs="Arial"/>
          <w:b/>
          <w:bCs/>
          <w:kern w:val="32"/>
          <w:sz w:val="22"/>
          <w:szCs w:val="22"/>
        </w:rPr>
      </w:pPr>
      <w:r w:rsidRPr="009E28A0">
        <w:rPr>
          <w:rFonts w:ascii="Arial" w:hAnsi="Arial" w:cs="Arial"/>
          <w:b/>
          <w:bCs/>
          <w:kern w:val="32"/>
          <w:sz w:val="22"/>
          <w:szCs w:val="22"/>
        </w:rPr>
        <w:t>SE</w:t>
      </w:r>
      <w:r>
        <w:rPr>
          <w:rFonts w:ascii="Arial" w:hAnsi="Arial" w:cs="Arial"/>
          <w:b/>
          <w:bCs/>
          <w:kern w:val="32"/>
          <w:sz w:val="22"/>
          <w:szCs w:val="22"/>
        </w:rPr>
        <w:t xml:space="preserve"> ACUERDA</w:t>
      </w:r>
      <w:r w:rsidRPr="009E28A0">
        <w:rPr>
          <w:rFonts w:ascii="Arial" w:hAnsi="Arial" w:cs="Arial"/>
          <w:b/>
          <w:bCs/>
          <w:kern w:val="32"/>
          <w:sz w:val="22"/>
          <w:szCs w:val="22"/>
        </w:rPr>
        <w:t>:</w:t>
      </w:r>
    </w:p>
    <w:p w:rsidR="009E28A0" w:rsidRPr="009E28A0" w:rsidRDefault="009E28A0" w:rsidP="009E28A0">
      <w:pPr>
        <w:rPr>
          <w:sz w:val="20"/>
          <w:szCs w:val="20"/>
        </w:rPr>
      </w:pPr>
    </w:p>
    <w:p w:rsidR="009E28A0" w:rsidRPr="009E28A0" w:rsidRDefault="009E28A0" w:rsidP="009E28A0">
      <w:pPr>
        <w:numPr>
          <w:ilvl w:val="0"/>
          <w:numId w:val="19"/>
        </w:numPr>
        <w:ind w:left="426" w:hanging="426"/>
        <w:jc w:val="both"/>
        <w:rPr>
          <w:rFonts w:ascii="Arial" w:eastAsia="Cambria" w:hAnsi="Arial" w:cs="Arial"/>
          <w:sz w:val="22"/>
          <w:szCs w:val="22"/>
          <w:lang w:eastAsia="en-US"/>
        </w:rPr>
      </w:pPr>
      <w:r w:rsidRPr="009E28A0">
        <w:rPr>
          <w:rFonts w:ascii="Arial" w:eastAsia="Cambria" w:hAnsi="Arial" w:cs="Arial"/>
          <w:sz w:val="22"/>
          <w:szCs w:val="22"/>
          <w:lang w:eastAsia="en-US"/>
        </w:rPr>
        <w:t>Comunicar a las dependencias de la Asamblea Legislativa correspondientes, las observaciones que se detallan a continuación, para cada proyecto consultado:</w:t>
      </w:r>
    </w:p>
    <w:p w:rsidR="009E28A0" w:rsidRPr="009E28A0" w:rsidRDefault="009E28A0" w:rsidP="009E28A0">
      <w:pPr>
        <w:autoSpaceDE w:val="0"/>
        <w:autoSpaceDN w:val="0"/>
        <w:adjustRightInd w:val="0"/>
        <w:ind w:right="-91"/>
        <w:jc w:val="both"/>
        <w:rPr>
          <w:rFonts w:ascii="Arial" w:eastAsia="Cambria" w:hAnsi="Arial" w:cs="Arial"/>
          <w:sz w:val="22"/>
          <w:szCs w:val="22"/>
          <w:lang w:eastAsia="en-US"/>
        </w:rPr>
      </w:pPr>
    </w:p>
    <w:p w:rsidR="009E28A0" w:rsidRPr="009E28A0" w:rsidRDefault="009E28A0" w:rsidP="009E28A0">
      <w:pPr>
        <w:autoSpaceDE w:val="0"/>
        <w:autoSpaceDN w:val="0"/>
        <w:adjustRightInd w:val="0"/>
        <w:ind w:right="-91"/>
        <w:jc w:val="both"/>
        <w:rPr>
          <w:rFonts w:ascii="Arial" w:eastAsia="Cambria" w:hAnsi="Arial" w:cs="Arial"/>
          <w:sz w:val="22"/>
          <w:szCs w:val="22"/>
          <w:u w:val="single"/>
          <w:lang w:eastAsia="en-US"/>
        </w:rPr>
      </w:pPr>
      <w:r w:rsidRPr="009E28A0">
        <w:rPr>
          <w:rFonts w:ascii="Arial" w:eastAsia="Cambria" w:hAnsi="Arial" w:cs="Arial"/>
          <w:sz w:val="22"/>
          <w:szCs w:val="22"/>
          <w:u w:val="single"/>
          <w:lang w:eastAsia="en-US"/>
        </w:rPr>
        <w:t>Comisión Permanente Ordinaria de Asuntos Hacendarios:</w:t>
      </w:r>
    </w:p>
    <w:p w:rsidR="009E28A0" w:rsidRPr="009E28A0" w:rsidRDefault="009E28A0" w:rsidP="009E28A0">
      <w:pPr>
        <w:autoSpaceDE w:val="0"/>
        <w:autoSpaceDN w:val="0"/>
        <w:adjustRightInd w:val="0"/>
        <w:ind w:right="-91"/>
        <w:jc w:val="both"/>
        <w:rPr>
          <w:rFonts w:ascii="Arial" w:eastAsia="Cambria" w:hAnsi="Arial" w:cs="Arial"/>
          <w:sz w:val="22"/>
          <w:szCs w:val="22"/>
          <w:lang w:eastAsia="en-US"/>
        </w:rPr>
      </w:pPr>
    </w:p>
    <w:tbl>
      <w:tblPr>
        <w:tblStyle w:val="Tablaconcuadrcula13"/>
        <w:tblW w:w="9776" w:type="dxa"/>
        <w:tblLayout w:type="fixed"/>
        <w:tblLook w:val="04A0" w:firstRow="1" w:lastRow="0" w:firstColumn="1" w:lastColumn="0" w:noHBand="0" w:noVBand="1"/>
      </w:tblPr>
      <w:tblGrid>
        <w:gridCol w:w="1554"/>
        <w:gridCol w:w="2835"/>
        <w:gridCol w:w="1984"/>
        <w:gridCol w:w="3403"/>
      </w:tblGrid>
      <w:tr w:rsidR="009E28A0" w:rsidRPr="009E28A0" w:rsidTr="005C22C0">
        <w:tc>
          <w:tcPr>
            <w:tcW w:w="155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 Expediente</w:t>
            </w:r>
          </w:p>
        </w:tc>
        <w:tc>
          <w:tcPr>
            <w:tcW w:w="2835"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Nombre del Proyecto</w:t>
            </w:r>
          </w:p>
        </w:tc>
        <w:tc>
          <w:tcPr>
            <w:tcW w:w="198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Transgrede o no la Autonomía Universitaria</w:t>
            </w:r>
          </w:p>
        </w:tc>
        <w:tc>
          <w:tcPr>
            <w:tcW w:w="3403"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Observaciones de las diferentes entidades institucionales consultadas</w:t>
            </w:r>
          </w:p>
        </w:tc>
      </w:tr>
      <w:tr w:rsidR="009E28A0" w:rsidRPr="009E28A0" w:rsidTr="005C22C0">
        <w:tc>
          <w:tcPr>
            <w:tcW w:w="1554" w:type="dxa"/>
          </w:tcPr>
          <w:p w:rsidR="009E28A0" w:rsidRPr="009E28A0" w:rsidRDefault="009E28A0" w:rsidP="009E28A0">
            <w:pPr>
              <w:autoSpaceDE w:val="0"/>
              <w:autoSpaceDN w:val="0"/>
              <w:adjustRightInd w:val="0"/>
              <w:ind w:right="-91"/>
              <w:jc w:val="center"/>
              <w:rPr>
                <w:rFonts w:ascii="Arial" w:hAnsi="Arial" w:cs="Arial"/>
                <w:b/>
                <w:sz w:val="22"/>
                <w:szCs w:val="22"/>
              </w:rPr>
            </w:pPr>
            <w:r w:rsidRPr="009E28A0">
              <w:rPr>
                <w:rFonts w:ascii="Arial" w:hAnsi="Arial" w:cs="Arial"/>
                <w:b/>
                <w:sz w:val="22"/>
                <w:szCs w:val="22"/>
              </w:rPr>
              <w:t>19.531</w:t>
            </w:r>
          </w:p>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p>
        </w:tc>
        <w:tc>
          <w:tcPr>
            <w:tcW w:w="2835" w:type="dxa"/>
          </w:tcPr>
          <w:p w:rsidR="009E28A0" w:rsidRPr="009E28A0" w:rsidRDefault="009E28A0" w:rsidP="009E28A0">
            <w:pPr>
              <w:autoSpaceDE w:val="0"/>
              <w:autoSpaceDN w:val="0"/>
              <w:adjustRightInd w:val="0"/>
              <w:ind w:right="-91"/>
              <w:jc w:val="both"/>
              <w:rPr>
                <w:rFonts w:ascii="Arial" w:eastAsia="Cambria" w:hAnsi="Arial" w:cs="Arial"/>
                <w:b/>
                <w:sz w:val="22"/>
                <w:szCs w:val="22"/>
                <w:lang w:eastAsia="en-US"/>
              </w:rPr>
            </w:pPr>
            <w:r w:rsidRPr="009E28A0">
              <w:rPr>
                <w:rFonts w:ascii="Arial" w:eastAsia="SimSun" w:hAnsi="Arial" w:cs="Arial"/>
                <w:b/>
                <w:iCs/>
                <w:sz w:val="20"/>
                <w:szCs w:val="20"/>
              </w:rPr>
              <w:t>“Ley de Regímenes de Exenciones y no sujeciones del pago de tributos, su otorgamiento y control sobre su uso y destino” Expediente 19.531(texto sustitutivo)</w:t>
            </w:r>
          </w:p>
        </w:tc>
        <w:tc>
          <w:tcPr>
            <w:tcW w:w="198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Sí</w:t>
            </w:r>
          </w:p>
        </w:tc>
        <w:tc>
          <w:tcPr>
            <w:tcW w:w="3403" w:type="dxa"/>
          </w:tcPr>
          <w:p w:rsidR="009E28A0" w:rsidRPr="009E28A0" w:rsidRDefault="009E28A0" w:rsidP="009E28A0">
            <w:pPr>
              <w:autoSpaceDE w:val="0"/>
              <w:autoSpaceDN w:val="0"/>
              <w:adjustRightInd w:val="0"/>
              <w:ind w:right="-91"/>
              <w:jc w:val="both"/>
              <w:rPr>
                <w:rFonts w:ascii="Arial" w:eastAsia="Cambria" w:hAnsi="Arial" w:cs="Arial"/>
                <w:b/>
                <w:sz w:val="20"/>
                <w:szCs w:val="20"/>
                <w:u w:val="single"/>
                <w:lang w:eastAsia="en-US"/>
              </w:rPr>
            </w:pPr>
            <w:r w:rsidRPr="009E28A0">
              <w:rPr>
                <w:rFonts w:ascii="Arial" w:eastAsia="Cambria" w:hAnsi="Arial" w:cs="Arial"/>
                <w:b/>
                <w:sz w:val="20"/>
                <w:szCs w:val="20"/>
                <w:u w:val="single"/>
                <w:lang w:eastAsia="en-US"/>
              </w:rPr>
              <w:t>Asesoría Legal</w:t>
            </w:r>
          </w:p>
          <w:p w:rsidR="009E28A0" w:rsidRPr="009E28A0" w:rsidRDefault="009E28A0" w:rsidP="009E28A0">
            <w:pPr>
              <w:autoSpaceDE w:val="0"/>
              <w:autoSpaceDN w:val="0"/>
              <w:adjustRightInd w:val="0"/>
              <w:ind w:right="-91"/>
              <w:rPr>
                <w:rFonts w:ascii="Arial" w:eastAsia="Cambria" w:hAnsi="Arial" w:cs="Arial"/>
                <w:b/>
                <w:sz w:val="22"/>
                <w:szCs w:val="22"/>
                <w:lang w:eastAsia="en-US"/>
              </w:rPr>
            </w:pPr>
          </w:p>
          <w:p w:rsidR="009E28A0" w:rsidRPr="009E28A0" w:rsidRDefault="009E28A0" w:rsidP="009E28A0">
            <w:pPr>
              <w:widowControl w:val="0"/>
              <w:tabs>
                <w:tab w:val="left" w:pos="-720"/>
              </w:tabs>
              <w:suppressAutoHyphens/>
              <w:adjustRightInd w:val="0"/>
              <w:jc w:val="both"/>
              <w:rPr>
                <w:rFonts w:ascii="Arial" w:hAnsi="Arial" w:cs="Arial"/>
                <w:i/>
                <w:sz w:val="20"/>
                <w:szCs w:val="20"/>
              </w:rPr>
            </w:pPr>
            <w:r w:rsidRPr="009E28A0">
              <w:rPr>
                <w:rFonts w:ascii="Arial" w:eastAsia="Cambria" w:hAnsi="Arial" w:cs="Arial"/>
                <w:b/>
                <w:i/>
                <w:sz w:val="20"/>
                <w:szCs w:val="20"/>
                <w:lang w:eastAsia="en-US"/>
              </w:rPr>
              <w:t>“</w:t>
            </w:r>
            <w:r w:rsidRPr="009E28A0">
              <w:rPr>
                <w:rFonts w:ascii="Arial" w:hAnsi="Arial" w:cs="Arial"/>
                <w:i/>
                <w:sz w:val="20"/>
                <w:szCs w:val="20"/>
              </w:rPr>
              <w:t>Sin detrimento y salvo mejor criterio técnico, esta Asesoría considera que si existen elementos que violentan la autonomía universitaria. Así el artículo 43 señala Revisión de exenciones.</w:t>
            </w:r>
          </w:p>
          <w:p w:rsidR="009E28A0" w:rsidRPr="009E28A0" w:rsidRDefault="009E28A0" w:rsidP="009E28A0">
            <w:pPr>
              <w:autoSpaceDE w:val="0"/>
              <w:autoSpaceDN w:val="0"/>
              <w:adjustRightInd w:val="0"/>
              <w:rPr>
                <w:rFonts w:ascii="Arial" w:hAnsi="Arial" w:cs="Arial"/>
                <w:b/>
                <w:i/>
                <w:sz w:val="20"/>
                <w:szCs w:val="20"/>
                <w:lang w:val="es-CR"/>
              </w:rPr>
            </w:pPr>
          </w:p>
          <w:p w:rsidR="009E28A0" w:rsidRPr="009E28A0" w:rsidRDefault="009E28A0" w:rsidP="009E28A0">
            <w:pPr>
              <w:autoSpaceDE w:val="0"/>
              <w:autoSpaceDN w:val="0"/>
              <w:adjustRightInd w:val="0"/>
              <w:jc w:val="both"/>
              <w:rPr>
                <w:rFonts w:ascii="Arial" w:hAnsi="Arial" w:cs="Arial"/>
                <w:i/>
                <w:color w:val="000000"/>
                <w:sz w:val="20"/>
                <w:szCs w:val="20"/>
              </w:rPr>
            </w:pPr>
            <w:r w:rsidRPr="009E28A0">
              <w:rPr>
                <w:rFonts w:ascii="Arial" w:eastAsia="Calibri" w:hAnsi="Arial" w:cs="Arial"/>
                <w:i/>
                <w:color w:val="000000"/>
                <w:sz w:val="20"/>
                <w:szCs w:val="20"/>
                <w:lang w:val="es-CR" w:eastAsia="es-CR"/>
              </w:rPr>
              <w:t xml:space="preserve">“El Ministerio de Hacienda a través de la Dirección General de Hacienda, evaluará la eficacia, pertinencia y validez de las exoneraciones </w:t>
            </w:r>
            <w:r w:rsidRPr="009E28A0">
              <w:rPr>
                <w:rFonts w:ascii="Arial" w:eastAsia="Calibri" w:hAnsi="Arial" w:cs="Arial"/>
                <w:b/>
                <w:i/>
                <w:color w:val="000000"/>
                <w:sz w:val="20"/>
                <w:szCs w:val="20"/>
                <w:lang w:val="es-CR" w:eastAsia="es-CR"/>
              </w:rPr>
              <w:t xml:space="preserve">otorgadas en cada régimen vigente, </w:t>
            </w:r>
            <w:r w:rsidRPr="009E28A0">
              <w:rPr>
                <w:rFonts w:ascii="Arial" w:eastAsia="Calibri" w:hAnsi="Arial" w:cs="Arial"/>
                <w:i/>
                <w:color w:val="000000"/>
                <w:sz w:val="20"/>
                <w:szCs w:val="20"/>
                <w:lang w:val="es-CR" w:eastAsia="es-CR"/>
              </w:rPr>
              <w:t xml:space="preserve">debiendo analizar la necesidad de mantener, modificar, reducir o eliminar parcial o totalmente, la exoneración correspondiente. </w:t>
            </w:r>
            <w:r w:rsidRPr="009E28A0">
              <w:rPr>
                <w:rFonts w:ascii="Arial" w:hAnsi="Arial" w:cs="Arial"/>
                <w:i/>
                <w:color w:val="000000"/>
                <w:sz w:val="20"/>
                <w:szCs w:val="20"/>
              </w:rPr>
              <w:t xml:space="preserve">Los estudios realizados a este efecto, deberán ser publicados en el sitio de internet del Ministerio de Hacienda y por otros medios que se valoren pertinentes; y ponerse en conocimiento del Ministro de Hacienda, de la Contraloría General de la República, del sector sobre el que recae el estudio y de la Comisión de Ingreso y Gasto Público de la Asamblea Legislativa. </w:t>
            </w:r>
          </w:p>
          <w:p w:rsidR="009E28A0" w:rsidRPr="009E28A0" w:rsidRDefault="009E28A0" w:rsidP="009E28A0">
            <w:pPr>
              <w:autoSpaceDE w:val="0"/>
              <w:autoSpaceDN w:val="0"/>
              <w:adjustRightInd w:val="0"/>
              <w:jc w:val="both"/>
              <w:rPr>
                <w:rFonts w:ascii="Arial" w:hAnsi="Arial" w:cs="Arial"/>
                <w:i/>
                <w:color w:val="000000"/>
                <w:sz w:val="20"/>
                <w:szCs w:val="20"/>
              </w:rPr>
            </w:pPr>
          </w:p>
          <w:p w:rsidR="009E28A0" w:rsidRPr="009E28A0" w:rsidRDefault="009E28A0" w:rsidP="009E28A0">
            <w:pPr>
              <w:autoSpaceDE w:val="0"/>
              <w:autoSpaceDN w:val="0"/>
              <w:adjustRightInd w:val="0"/>
              <w:jc w:val="both"/>
              <w:rPr>
                <w:rFonts w:ascii="Arial" w:eastAsia="Calibri" w:hAnsi="Arial" w:cs="Arial"/>
                <w:i/>
                <w:color w:val="000000"/>
                <w:sz w:val="20"/>
                <w:szCs w:val="20"/>
                <w:lang w:val="es-CR" w:eastAsia="es-CR"/>
              </w:rPr>
            </w:pPr>
            <w:r w:rsidRPr="009E28A0">
              <w:rPr>
                <w:rFonts w:ascii="Arial" w:eastAsia="Calibri" w:hAnsi="Arial" w:cs="Arial"/>
                <w:i/>
                <w:color w:val="000000"/>
                <w:sz w:val="20"/>
                <w:szCs w:val="20"/>
                <w:lang w:val="es-CR" w:eastAsia="es-CR"/>
              </w:rPr>
              <w:t>A partir de los resultados arrojados, el Ministerio de Hacienda presentará un proyecto de ley derogando aquellas exoneraciones que se consideró ya cumplieron su objetivo, y estableciendo un plazo de vigencia máximo de 5 años para aquellas respecto de las cuales se recomendó su continuidad</w:t>
            </w:r>
          </w:p>
          <w:p w:rsidR="009E28A0" w:rsidRPr="009E28A0" w:rsidRDefault="009E28A0" w:rsidP="009E28A0">
            <w:pPr>
              <w:autoSpaceDE w:val="0"/>
              <w:autoSpaceDN w:val="0"/>
              <w:adjustRightInd w:val="0"/>
              <w:jc w:val="both"/>
              <w:rPr>
                <w:rFonts w:ascii="Arial" w:eastAsia="Calibri" w:hAnsi="Arial" w:cs="Arial"/>
                <w:i/>
                <w:color w:val="000000"/>
                <w:sz w:val="20"/>
                <w:szCs w:val="20"/>
                <w:lang w:val="es-CR" w:eastAsia="es-CR"/>
              </w:rPr>
            </w:pPr>
          </w:p>
          <w:p w:rsidR="009E28A0" w:rsidRPr="009E28A0" w:rsidRDefault="009E28A0" w:rsidP="009E28A0">
            <w:pPr>
              <w:autoSpaceDE w:val="0"/>
              <w:autoSpaceDN w:val="0"/>
              <w:adjustRightInd w:val="0"/>
              <w:jc w:val="both"/>
              <w:rPr>
                <w:rFonts w:ascii="Arial" w:eastAsia="Calibri" w:hAnsi="Arial" w:cs="Arial"/>
                <w:i/>
                <w:color w:val="000000"/>
                <w:sz w:val="20"/>
                <w:szCs w:val="20"/>
                <w:lang w:val="es-CR" w:eastAsia="es-CR"/>
              </w:rPr>
            </w:pPr>
            <w:r w:rsidRPr="009E28A0">
              <w:rPr>
                <w:rFonts w:ascii="Arial" w:hAnsi="Arial" w:cs="Arial"/>
                <w:i/>
                <w:color w:val="000000"/>
                <w:sz w:val="20"/>
                <w:szCs w:val="20"/>
              </w:rPr>
              <w:t xml:space="preserve">El procedimiento establecido en este artículo, también será de aplicación para aquellas exoneraciones que se aprueben de </w:t>
            </w:r>
            <w:r w:rsidRPr="009E28A0">
              <w:rPr>
                <w:rFonts w:ascii="Arial" w:hAnsi="Arial" w:cs="Arial"/>
                <w:i/>
                <w:color w:val="000000"/>
                <w:sz w:val="20"/>
                <w:szCs w:val="20"/>
              </w:rPr>
              <w:lastRenderedPageBreak/>
              <w:t>forma posterior a la entrada en vigencia de la presente ley, las cuales deberán ser evaluadas dentro de los 5 años posteriores a su entrada en vigencia</w:t>
            </w:r>
            <w:r w:rsidRPr="009E28A0">
              <w:rPr>
                <w:rFonts w:ascii="Arial" w:hAnsi="Arial" w:cs="Arial"/>
                <w:b/>
                <w:i/>
                <w:color w:val="000000"/>
                <w:sz w:val="20"/>
                <w:szCs w:val="20"/>
              </w:rPr>
              <w:t>.”.</w:t>
            </w:r>
            <w:r w:rsidRPr="009E28A0">
              <w:rPr>
                <w:rFonts w:ascii="Arial" w:eastAsia="Calibri" w:hAnsi="Arial" w:cs="Arial"/>
                <w:i/>
                <w:color w:val="000000"/>
                <w:sz w:val="20"/>
                <w:szCs w:val="20"/>
                <w:lang w:val="es-CR" w:eastAsia="es-CR"/>
              </w:rPr>
              <w:t xml:space="preserve"> (El destacado es propio)</w:t>
            </w:r>
          </w:p>
          <w:p w:rsidR="009E28A0" w:rsidRPr="009E28A0" w:rsidRDefault="009E28A0" w:rsidP="009E28A0">
            <w:pPr>
              <w:jc w:val="both"/>
              <w:rPr>
                <w:rFonts w:ascii="Arial" w:hAnsi="Arial" w:cs="Arial"/>
                <w:color w:val="000000"/>
                <w:sz w:val="20"/>
                <w:szCs w:val="20"/>
                <w:shd w:val="clear" w:color="auto" w:fill="F0F0F0"/>
              </w:rPr>
            </w:pPr>
            <w:r w:rsidRPr="009E28A0">
              <w:rPr>
                <w:rFonts w:ascii="Arial" w:hAnsi="Arial" w:cs="Arial"/>
                <w:i/>
                <w:sz w:val="20"/>
                <w:szCs w:val="20"/>
              </w:rPr>
              <w:t>Nótese que será el Misterio de Hacienda quien, en este caso, determina las exoneraciones y realizará el trámite correspondiente, no se específica alguna excepción cuando se trata de instituciones que gozan de una autonomía constitucional.”</w:t>
            </w:r>
          </w:p>
        </w:tc>
      </w:tr>
    </w:tbl>
    <w:p w:rsidR="009E28A0" w:rsidRPr="009E28A0" w:rsidRDefault="009E28A0" w:rsidP="009E28A0">
      <w:pPr>
        <w:autoSpaceDE w:val="0"/>
        <w:autoSpaceDN w:val="0"/>
        <w:adjustRightInd w:val="0"/>
        <w:ind w:right="-91"/>
        <w:jc w:val="both"/>
        <w:rPr>
          <w:rFonts w:ascii="Arial" w:eastAsia="Cambria" w:hAnsi="Arial" w:cs="Arial"/>
          <w:sz w:val="22"/>
          <w:szCs w:val="22"/>
          <w:lang w:eastAsia="en-US"/>
        </w:rPr>
      </w:pPr>
    </w:p>
    <w:p w:rsidR="009E28A0" w:rsidRPr="009E28A0" w:rsidRDefault="009E28A0" w:rsidP="009E28A0">
      <w:pPr>
        <w:autoSpaceDE w:val="0"/>
        <w:autoSpaceDN w:val="0"/>
        <w:adjustRightInd w:val="0"/>
        <w:ind w:right="-91"/>
        <w:jc w:val="both"/>
        <w:rPr>
          <w:rFonts w:ascii="Arial" w:eastAsia="Cambria" w:hAnsi="Arial" w:cs="Arial"/>
          <w:sz w:val="22"/>
          <w:szCs w:val="22"/>
          <w:lang w:eastAsia="en-US"/>
        </w:rPr>
      </w:pPr>
      <w:r w:rsidRPr="009E28A0">
        <w:rPr>
          <w:rFonts w:ascii="Arial" w:eastAsia="Cambria" w:hAnsi="Arial" w:cs="Arial"/>
          <w:sz w:val="22"/>
          <w:szCs w:val="22"/>
          <w:u w:val="single"/>
          <w:lang w:eastAsia="en-US"/>
        </w:rPr>
        <w:t>Comisión Permanente Especial de Asuntos de Discapacidad y Adulto Mayor:</w:t>
      </w:r>
    </w:p>
    <w:p w:rsidR="009E28A0" w:rsidRPr="009E28A0" w:rsidRDefault="009E28A0" w:rsidP="009E28A0">
      <w:pPr>
        <w:autoSpaceDE w:val="0"/>
        <w:autoSpaceDN w:val="0"/>
        <w:adjustRightInd w:val="0"/>
        <w:ind w:right="-91"/>
        <w:jc w:val="both"/>
        <w:rPr>
          <w:rFonts w:ascii="Arial" w:eastAsia="Cambria" w:hAnsi="Arial" w:cs="Arial"/>
          <w:sz w:val="22"/>
          <w:szCs w:val="22"/>
          <w:lang w:eastAsia="en-US"/>
        </w:rPr>
      </w:pPr>
    </w:p>
    <w:tbl>
      <w:tblPr>
        <w:tblStyle w:val="Tablaconcuadrcula13"/>
        <w:tblW w:w="9776" w:type="dxa"/>
        <w:tblLayout w:type="fixed"/>
        <w:tblLook w:val="04A0" w:firstRow="1" w:lastRow="0" w:firstColumn="1" w:lastColumn="0" w:noHBand="0" w:noVBand="1"/>
      </w:tblPr>
      <w:tblGrid>
        <w:gridCol w:w="1554"/>
        <w:gridCol w:w="2835"/>
        <w:gridCol w:w="1984"/>
        <w:gridCol w:w="3403"/>
      </w:tblGrid>
      <w:tr w:rsidR="009E28A0" w:rsidRPr="009E28A0" w:rsidTr="005C22C0">
        <w:tc>
          <w:tcPr>
            <w:tcW w:w="155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 Expediente</w:t>
            </w:r>
          </w:p>
        </w:tc>
        <w:tc>
          <w:tcPr>
            <w:tcW w:w="2835"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Nombre del Proyecto</w:t>
            </w:r>
          </w:p>
        </w:tc>
        <w:tc>
          <w:tcPr>
            <w:tcW w:w="198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Transgrede o no la Autonomía Universitaria</w:t>
            </w:r>
          </w:p>
        </w:tc>
        <w:tc>
          <w:tcPr>
            <w:tcW w:w="3403"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Observaciones de las diferentes entidades institucionales consultadas</w:t>
            </w:r>
          </w:p>
        </w:tc>
      </w:tr>
      <w:tr w:rsidR="009E28A0" w:rsidRPr="009E28A0" w:rsidTr="005C22C0">
        <w:tc>
          <w:tcPr>
            <w:tcW w:w="155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hAnsi="Arial" w:cs="Arial"/>
                <w:b/>
                <w:sz w:val="22"/>
                <w:szCs w:val="22"/>
              </w:rPr>
              <w:t>20.840</w:t>
            </w:r>
          </w:p>
        </w:tc>
        <w:tc>
          <w:tcPr>
            <w:tcW w:w="2835" w:type="dxa"/>
          </w:tcPr>
          <w:p w:rsidR="009E28A0" w:rsidRPr="009E28A0" w:rsidRDefault="009E28A0" w:rsidP="009E28A0">
            <w:pPr>
              <w:autoSpaceDE w:val="0"/>
              <w:autoSpaceDN w:val="0"/>
              <w:adjustRightInd w:val="0"/>
              <w:ind w:right="-91"/>
              <w:jc w:val="both"/>
              <w:rPr>
                <w:rFonts w:ascii="Arial" w:eastAsia="Cambria" w:hAnsi="Arial" w:cs="Arial"/>
                <w:b/>
                <w:sz w:val="22"/>
                <w:szCs w:val="22"/>
                <w:lang w:eastAsia="en-US"/>
              </w:rPr>
            </w:pPr>
            <w:r w:rsidRPr="009E28A0">
              <w:rPr>
                <w:rFonts w:ascii="Arial" w:eastAsia="SimSun" w:hAnsi="Arial" w:cs="Arial"/>
                <w:b/>
                <w:iCs/>
                <w:sz w:val="20"/>
                <w:szCs w:val="20"/>
              </w:rPr>
              <w:t>Ley “Adición de un Capítulo de Acceso a la Justicia a la Ley 7600 de Igualdad de Oportunidades para Personas con Discapacidad”, (texto dictaminado)</w:t>
            </w:r>
          </w:p>
        </w:tc>
        <w:tc>
          <w:tcPr>
            <w:tcW w:w="198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w:t>
            </w:r>
          </w:p>
        </w:tc>
        <w:tc>
          <w:tcPr>
            <w:tcW w:w="3403" w:type="dxa"/>
          </w:tcPr>
          <w:p w:rsidR="009E28A0" w:rsidRPr="009E28A0" w:rsidRDefault="009E28A0" w:rsidP="009E28A0">
            <w:pPr>
              <w:autoSpaceDE w:val="0"/>
              <w:autoSpaceDN w:val="0"/>
              <w:adjustRightInd w:val="0"/>
              <w:ind w:right="-91"/>
              <w:jc w:val="both"/>
              <w:rPr>
                <w:rFonts w:ascii="Arial" w:eastAsia="Cambria" w:hAnsi="Arial" w:cs="Arial"/>
                <w:b/>
                <w:sz w:val="20"/>
                <w:szCs w:val="20"/>
                <w:u w:val="single"/>
                <w:lang w:eastAsia="en-US"/>
              </w:rPr>
            </w:pPr>
            <w:r w:rsidRPr="009E28A0">
              <w:rPr>
                <w:rFonts w:ascii="Arial" w:eastAsia="Cambria" w:hAnsi="Arial" w:cs="Arial"/>
                <w:b/>
                <w:sz w:val="20"/>
                <w:szCs w:val="20"/>
                <w:u w:val="single"/>
                <w:lang w:eastAsia="en-US"/>
              </w:rPr>
              <w:t>Asesoría Legal</w:t>
            </w:r>
          </w:p>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p>
          <w:p w:rsidR="009E28A0" w:rsidRPr="009E28A0" w:rsidRDefault="009E28A0" w:rsidP="009E28A0">
            <w:pPr>
              <w:jc w:val="both"/>
              <w:rPr>
                <w:rFonts w:ascii="Arial" w:eastAsiaTheme="minorHAnsi" w:hAnsi="Arial" w:cs="Arial"/>
                <w:i/>
                <w:sz w:val="20"/>
                <w:szCs w:val="20"/>
              </w:rPr>
            </w:pPr>
            <w:r w:rsidRPr="009E28A0">
              <w:rPr>
                <w:rFonts w:ascii="Arial" w:eastAsiaTheme="minorHAnsi" w:hAnsi="Arial" w:cs="Arial"/>
                <w:i/>
                <w:sz w:val="20"/>
                <w:szCs w:val="20"/>
              </w:rPr>
              <w:t xml:space="preserve">“Se considera que no existen elementos que violenten la autonomía universitaria se hace alusión a las universidades en relación a los consultorios jurídicos, no obstante, el Instituto </w:t>
            </w:r>
          </w:p>
          <w:p w:rsidR="009E28A0" w:rsidRPr="009E28A0" w:rsidRDefault="009E28A0" w:rsidP="009E28A0">
            <w:pPr>
              <w:jc w:val="both"/>
              <w:rPr>
                <w:rFonts w:ascii="Arial" w:eastAsiaTheme="minorHAnsi" w:hAnsi="Arial" w:cs="Arial"/>
                <w:i/>
                <w:sz w:val="20"/>
                <w:szCs w:val="20"/>
              </w:rPr>
            </w:pPr>
            <w:r w:rsidRPr="009E28A0">
              <w:rPr>
                <w:rFonts w:ascii="Arial" w:eastAsiaTheme="minorHAnsi" w:hAnsi="Arial" w:cs="Arial"/>
                <w:i/>
                <w:sz w:val="20"/>
                <w:szCs w:val="20"/>
              </w:rPr>
              <w:t>Tecnológico no cuenta con este servicio para la población.  La iniciativa de acuerdo a la exposición de motivos y del articulado que se pretende adicionar, pasaría a formar parte de la protección de los derechos de las personas con discapacidad contemplada en la Ley 7600,</w:t>
            </w:r>
          </w:p>
          <w:p w:rsidR="009E28A0" w:rsidRPr="009E28A0" w:rsidRDefault="009E28A0" w:rsidP="009E28A0">
            <w:pPr>
              <w:jc w:val="both"/>
              <w:rPr>
                <w:rFonts w:ascii="Arial" w:eastAsiaTheme="minorHAnsi" w:hAnsi="Arial" w:cs="Arial"/>
                <w:i/>
                <w:sz w:val="20"/>
                <w:szCs w:val="20"/>
              </w:rPr>
            </w:pPr>
            <w:r w:rsidRPr="009E28A0">
              <w:rPr>
                <w:rFonts w:ascii="Arial" w:eastAsiaTheme="minorHAnsi" w:hAnsi="Arial" w:cs="Arial"/>
                <w:i/>
                <w:sz w:val="20"/>
                <w:szCs w:val="20"/>
              </w:rPr>
              <w:t>Ley de igualdad de oportunidades para personas con discapacidad, enfocado al derecho de acceso a la Justicia, teniendo un enfoque y ámbito el Poder Judicial.”</w:t>
            </w:r>
          </w:p>
          <w:p w:rsidR="009E28A0" w:rsidRPr="009E28A0" w:rsidRDefault="009E28A0" w:rsidP="009E28A0">
            <w:pPr>
              <w:autoSpaceDE w:val="0"/>
              <w:autoSpaceDN w:val="0"/>
              <w:adjustRightInd w:val="0"/>
              <w:ind w:right="-91"/>
              <w:rPr>
                <w:rFonts w:ascii="Arial" w:eastAsia="Cambria" w:hAnsi="Arial" w:cs="Arial"/>
                <w:b/>
                <w:sz w:val="22"/>
                <w:szCs w:val="22"/>
                <w:lang w:eastAsia="en-US"/>
              </w:rPr>
            </w:pPr>
          </w:p>
          <w:p w:rsidR="009E28A0" w:rsidRPr="009E28A0" w:rsidRDefault="009E28A0" w:rsidP="009E28A0">
            <w:pPr>
              <w:autoSpaceDE w:val="0"/>
              <w:autoSpaceDN w:val="0"/>
              <w:adjustRightInd w:val="0"/>
              <w:ind w:right="-91"/>
              <w:jc w:val="both"/>
              <w:rPr>
                <w:rFonts w:ascii="Arial" w:eastAsia="Cambria" w:hAnsi="Arial" w:cs="Arial"/>
                <w:b/>
                <w:sz w:val="20"/>
                <w:szCs w:val="20"/>
                <w:u w:val="single"/>
                <w:lang w:eastAsia="en-US"/>
              </w:rPr>
            </w:pPr>
            <w:r w:rsidRPr="009E28A0">
              <w:rPr>
                <w:rFonts w:ascii="Arial" w:eastAsia="Cambria" w:hAnsi="Arial" w:cs="Arial"/>
                <w:b/>
                <w:sz w:val="20"/>
                <w:szCs w:val="20"/>
                <w:u w:val="single"/>
                <w:lang w:eastAsia="en-US"/>
              </w:rPr>
              <w:t>Programa de Equiparación de Oportunidades para Personas con Discapacidad del Instituto Tecnológico de Costa Rica</w:t>
            </w:r>
          </w:p>
          <w:p w:rsidR="009E28A0" w:rsidRPr="009E28A0" w:rsidRDefault="009E28A0" w:rsidP="009E28A0">
            <w:pPr>
              <w:autoSpaceDE w:val="0"/>
              <w:autoSpaceDN w:val="0"/>
              <w:adjustRightInd w:val="0"/>
              <w:rPr>
                <w:rFonts w:ascii="Arial" w:eastAsiaTheme="minorHAnsi" w:hAnsi="Arial" w:cs="Arial"/>
                <w:color w:val="000000"/>
                <w:lang w:eastAsia="en-US"/>
              </w:rPr>
            </w:pP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“Desde el año 2005, el Poder Judicial en Costa Rica ha realizado una serie de acciones afirmativas en relación con el acceso de las personas con discapacidad a la justicia, en respuesta al impacto que la ley N.° 7600 ha tenido en la sociedad costarricense.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El país tiene ratificada la Convención sobre los Derechos de las Personas con Discapacidad Ley </w:t>
            </w:r>
            <w:r w:rsidRPr="009E28A0">
              <w:rPr>
                <w:rFonts w:ascii="Arial" w:eastAsiaTheme="minorHAnsi" w:hAnsi="Arial" w:cs="Arial"/>
                <w:i/>
                <w:color w:val="000000"/>
                <w:sz w:val="20"/>
                <w:szCs w:val="20"/>
                <w:lang w:eastAsia="en-US"/>
              </w:rPr>
              <w:lastRenderedPageBreak/>
              <w:t xml:space="preserve">N.° 8661, donde se establecen las obligaciones de los Estados en relación con el acceso a la justicia para las personas con discapacidad.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Existen organismos internacionales y nacionales que van marcando la pauta en dicha temática, tales como la Organización de Naciones Unidas con los objetivos del desarrollo sostenible para el 2030 y la Política Nacional de Discapacidad 2011-2021, respectivamente. </w:t>
            </w:r>
          </w:p>
          <w:p w:rsidR="009E28A0" w:rsidRPr="009E28A0" w:rsidRDefault="009E28A0" w:rsidP="009E28A0">
            <w:pPr>
              <w:autoSpaceDE w:val="0"/>
              <w:autoSpaceDN w:val="0"/>
              <w:adjustRightInd w:val="0"/>
              <w:ind w:right="-91"/>
              <w:jc w:val="both"/>
              <w:rPr>
                <w:rFonts w:ascii="Arial" w:eastAsia="Cambria" w:hAnsi="Arial" w:cs="Arial"/>
                <w:b/>
                <w:i/>
                <w:sz w:val="20"/>
                <w:szCs w:val="20"/>
                <w:u w:val="single"/>
                <w:lang w:eastAsia="en-US"/>
              </w:rPr>
            </w:pPr>
            <w:r w:rsidRPr="009E28A0">
              <w:rPr>
                <w:rFonts w:ascii="Arial" w:eastAsiaTheme="minorHAnsi" w:hAnsi="Arial" w:cs="Arial"/>
                <w:i/>
                <w:color w:val="000000"/>
                <w:sz w:val="20"/>
                <w:szCs w:val="20"/>
                <w:lang w:val="es-CR" w:eastAsia="en-US"/>
              </w:rPr>
              <w:t>En correspondencia con dicho marco político y normativo, se hace necesario actualizar y mejorar la Ley 7600 para lograr que todas las personas con discapacidad accedan sin discriminación alguna a los servicios judiciales, para ejercer su derecho a una justicia pronta, cumplida e inclusiva.”</w:t>
            </w:r>
          </w:p>
          <w:p w:rsidR="009E28A0" w:rsidRPr="009E28A0" w:rsidRDefault="009E28A0" w:rsidP="009E28A0">
            <w:pPr>
              <w:autoSpaceDE w:val="0"/>
              <w:autoSpaceDN w:val="0"/>
              <w:adjustRightInd w:val="0"/>
              <w:rPr>
                <w:rFonts w:eastAsiaTheme="minorHAnsi"/>
                <w:color w:val="000000"/>
                <w:lang w:eastAsia="en-US"/>
              </w:rPr>
            </w:pPr>
          </w:p>
          <w:p w:rsidR="009E28A0" w:rsidRPr="009E28A0" w:rsidRDefault="009E28A0" w:rsidP="009E28A0">
            <w:pPr>
              <w:autoSpaceDE w:val="0"/>
              <w:autoSpaceDN w:val="0"/>
              <w:adjustRightInd w:val="0"/>
              <w:ind w:right="-91"/>
              <w:jc w:val="both"/>
              <w:rPr>
                <w:rFonts w:ascii="Arial" w:eastAsia="Cambria" w:hAnsi="Arial" w:cs="Arial"/>
                <w:b/>
                <w:sz w:val="20"/>
                <w:szCs w:val="20"/>
                <w:u w:val="single"/>
                <w:lang w:eastAsia="en-US"/>
              </w:rPr>
            </w:pPr>
            <w:r w:rsidRPr="009E28A0">
              <w:rPr>
                <w:rFonts w:ascii="Arial" w:eastAsia="Cambria" w:hAnsi="Arial" w:cs="Arial"/>
                <w:b/>
                <w:sz w:val="20"/>
                <w:szCs w:val="20"/>
                <w:u w:val="single"/>
                <w:lang w:eastAsia="en-US"/>
              </w:rPr>
              <w:t>Departamento de Vida Estudiantil y Servicios Académicos Campus Tecnológico Local San Carlos</w:t>
            </w:r>
          </w:p>
          <w:p w:rsidR="009E28A0" w:rsidRPr="009E28A0" w:rsidRDefault="009E28A0" w:rsidP="009E28A0">
            <w:pPr>
              <w:autoSpaceDE w:val="0"/>
              <w:autoSpaceDN w:val="0"/>
              <w:adjustRightInd w:val="0"/>
              <w:jc w:val="both"/>
              <w:rPr>
                <w:rFonts w:eastAsiaTheme="minorHAnsi"/>
                <w:color w:val="000000"/>
                <w:lang w:eastAsia="en-US"/>
              </w:rPr>
            </w:pPr>
          </w:p>
          <w:p w:rsidR="009E28A0" w:rsidRPr="009E28A0" w:rsidRDefault="009E28A0" w:rsidP="009E28A0">
            <w:pPr>
              <w:autoSpaceDE w:val="0"/>
              <w:autoSpaceDN w:val="0"/>
              <w:adjustRightInd w:val="0"/>
              <w:ind w:right="-91"/>
              <w:jc w:val="both"/>
              <w:rPr>
                <w:rFonts w:ascii="Arial" w:eastAsiaTheme="minorHAnsi" w:hAnsi="Arial" w:cs="Arial"/>
                <w:i/>
                <w:color w:val="000000"/>
                <w:sz w:val="20"/>
                <w:szCs w:val="20"/>
                <w:lang w:val="es-CR" w:eastAsia="en-US"/>
              </w:rPr>
            </w:pPr>
            <w:r w:rsidRPr="009E28A0">
              <w:rPr>
                <w:rFonts w:ascii="Arial" w:eastAsiaTheme="minorHAnsi" w:hAnsi="Arial" w:cs="Arial"/>
                <w:i/>
                <w:color w:val="000000"/>
                <w:sz w:val="20"/>
                <w:szCs w:val="20"/>
                <w:lang w:val="es-CR" w:eastAsia="en-US"/>
              </w:rPr>
              <w:t xml:space="preserve">“Artículo 58- Deberes generales. Se está de acuerdo: </w:t>
            </w:r>
          </w:p>
          <w:p w:rsidR="009E28A0" w:rsidRPr="009E28A0" w:rsidRDefault="009E28A0" w:rsidP="009E28A0">
            <w:pPr>
              <w:autoSpaceDE w:val="0"/>
              <w:autoSpaceDN w:val="0"/>
              <w:adjustRightInd w:val="0"/>
              <w:ind w:right="-91"/>
              <w:jc w:val="both"/>
              <w:rPr>
                <w:rFonts w:ascii="Arial" w:eastAsiaTheme="minorHAnsi" w:hAnsi="Arial" w:cs="Arial"/>
                <w:i/>
                <w:color w:val="000000"/>
                <w:sz w:val="20"/>
                <w:szCs w:val="20"/>
                <w:lang w:val="es-CR" w:eastAsia="en-US"/>
              </w:rPr>
            </w:pPr>
            <w:r w:rsidRPr="009E28A0">
              <w:rPr>
                <w:rFonts w:ascii="Arial" w:eastAsiaTheme="minorHAnsi" w:hAnsi="Arial" w:cs="Arial"/>
                <w:i/>
                <w:color w:val="000000"/>
                <w:sz w:val="20"/>
                <w:szCs w:val="20"/>
                <w:lang w:val="es-CR" w:eastAsia="en-US"/>
              </w:rPr>
              <w:t>Se está de acuerdo en la promoción y aplicación de campañas al igual con accesos según las necesidades que se requieran de acuerdo a la población de atención.</w:t>
            </w:r>
          </w:p>
          <w:p w:rsidR="009E28A0" w:rsidRPr="009E28A0" w:rsidRDefault="009E28A0" w:rsidP="009E28A0">
            <w:pPr>
              <w:autoSpaceDE w:val="0"/>
              <w:autoSpaceDN w:val="0"/>
              <w:adjustRightInd w:val="0"/>
              <w:ind w:right="-91"/>
              <w:jc w:val="both"/>
              <w:rPr>
                <w:rFonts w:ascii="Arial" w:eastAsiaTheme="minorHAnsi" w:hAnsi="Arial" w:cs="Arial"/>
                <w:i/>
                <w:color w:val="000000"/>
                <w:sz w:val="20"/>
                <w:szCs w:val="20"/>
                <w:lang w:val="es-CR" w:eastAsia="en-US"/>
              </w:rPr>
            </w:pPr>
            <w:r w:rsidRPr="009E28A0">
              <w:rPr>
                <w:rFonts w:ascii="Arial" w:eastAsiaTheme="minorHAnsi" w:hAnsi="Arial" w:cs="Arial"/>
                <w:i/>
                <w:color w:val="000000"/>
                <w:sz w:val="20"/>
                <w:szCs w:val="20"/>
                <w:lang w:val="es-CR" w:eastAsia="en-US"/>
              </w:rPr>
              <w:t xml:space="preserve">b. No hay observaciones. </w:t>
            </w:r>
          </w:p>
          <w:p w:rsidR="009E28A0" w:rsidRPr="009E28A0" w:rsidRDefault="009E28A0" w:rsidP="009E28A0">
            <w:pPr>
              <w:autoSpaceDE w:val="0"/>
              <w:autoSpaceDN w:val="0"/>
              <w:adjustRightInd w:val="0"/>
              <w:ind w:right="-91"/>
              <w:jc w:val="both"/>
              <w:rPr>
                <w:rFonts w:ascii="Arial" w:eastAsiaTheme="minorHAnsi" w:hAnsi="Arial" w:cs="Arial"/>
                <w:i/>
                <w:color w:val="000000"/>
                <w:sz w:val="20"/>
                <w:szCs w:val="20"/>
                <w:lang w:val="es-CR" w:eastAsia="en-US"/>
              </w:rPr>
            </w:pPr>
            <w:r w:rsidRPr="009E28A0">
              <w:rPr>
                <w:rFonts w:ascii="Arial" w:eastAsiaTheme="minorHAnsi" w:hAnsi="Arial" w:cs="Arial"/>
                <w:i/>
                <w:color w:val="000000"/>
                <w:sz w:val="20"/>
                <w:szCs w:val="20"/>
                <w:lang w:val="es-CR" w:eastAsia="en-US"/>
              </w:rPr>
              <w:t>c. Aplicar ante la ley tanto el término de igualdad como de equidad.</w:t>
            </w:r>
          </w:p>
          <w:p w:rsidR="009E28A0" w:rsidRPr="009E28A0" w:rsidRDefault="009E28A0" w:rsidP="009E28A0">
            <w:pPr>
              <w:autoSpaceDE w:val="0"/>
              <w:autoSpaceDN w:val="0"/>
              <w:adjustRightInd w:val="0"/>
              <w:ind w:right="-91"/>
              <w:jc w:val="both"/>
              <w:rPr>
                <w:rFonts w:ascii="Arial" w:eastAsiaTheme="minorHAnsi" w:hAnsi="Arial" w:cs="Arial"/>
                <w:i/>
                <w:color w:val="000000"/>
                <w:sz w:val="20"/>
                <w:szCs w:val="20"/>
                <w:lang w:val="es-CR" w:eastAsia="en-US"/>
              </w:rPr>
            </w:pPr>
            <w:r w:rsidRPr="009E28A0">
              <w:rPr>
                <w:rFonts w:ascii="Arial" w:eastAsiaTheme="minorHAnsi" w:hAnsi="Arial" w:cs="Arial"/>
                <w:i/>
                <w:color w:val="000000"/>
                <w:sz w:val="20"/>
                <w:szCs w:val="20"/>
                <w:lang w:val="es-CR" w:eastAsia="en-US"/>
              </w:rPr>
              <w:t xml:space="preserve">Artículo 61- Comunicación. Se está de acuerdo que se brinde el servicio. Pero que se aclare quién va a proveer el recurso de apoyo para la persona con discapacidad. </w:t>
            </w:r>
          </w:p>
          <w:p w:rsidR="009E28A0" w:rsidRPr="009E28A0" w:rsidRDefault="009E28A0" w:rsidP="009E28A0">
            <w:pPr>
              <w:autoSpaceDE w:val="0"/>
              <w:autoSpaceDN w:val="0"/>
              <w:adjustRightInd w:val="0"/>
              <w:ind w:right="-91"/>
              <w:jc w:val="both"/>
              <w:rPr>
                <w:rFonts w:ascii="Arial" w:eastAsiaTheme="minorHAnsi" w:hAnsi="Arial" w:cs="Arial"/>
                <w:i/>
                <w:color w:val="000000"/>
                <w:sz w:val="20"/>
                <w:szCs w:val="20"/>
                <w:lang w:val="es-CR" w:eastAsia="en-US"/>
              </w:rPr>
            </w:pPr>
            <w:r w:rsidRPr="009E28A0">
              <w:rPr>
                <w:rFonts w:ascii="Arial" w:eastAsiaTheme="minorHAnsi" w:hAnsi="Arial" w:cs="Arial"/>
                <w:i/>
                <w:color w:val="000000"/>
                <w:sz w:val="20"/>
                <w:szCs w:val="20"/>
                <w:lang w:val="es-CR" w:eastAsia="en-US"/>
              </w:rPr>
              <w:t>Artículo 62- Ajustes Razonables. Aplicar ante la ley tanto el término de igualdad como de equidad.</w:t>
            </w:r>
          </w:p>
          <w:p w:rsidR="009E28A0" w:rsidRPr="009E28A0" w:rsidRDefault="009E28A0" w:rsidP="009E28A0">
            <w:pPr>
              <w:autoSpaceDE w:val="0"/>
              <w:autoSpaceDN w:val="0"/>
              <w:adjustRightInd w:val="0"/>
              <w:ind w:right="-91"/>
              <w:jc w:val="both"/>
              <w:rPr>
                <w:rFonts w:ascii="Arial" w:eastAsia="Cambria" w:hAnsi="Arial" w:cs="Arial"/>
                <w:b/>
                <w:sz w:val="22"/>
                <w:szCs w:val="22"/>
                <w:lang w:eastAsia="en-US"/>
              </w:rPr>
            </w:pPr>
            <w:r w:rsidRPr="009E28A0">
              <w:rPr>
                <w:rFonts w:ascii="Arial" w:eastAsiaTheme="minorHAnsi" w:hAnsi="Arial" w:cs="Arial"/>
                <w:i/>
                <w:color w:val="000000"/>
                <w:sz w:val="20"/>
                <w:szCs w:val="20"/>
                <w:lang w:val="es-CR" w:eastAsia="en-US"/>
              </w:rPr>
              <w:t>Por tanto, el Departamento de Vida Estudiantil se apoya el proyecto.”</w:t>
            </w:r>
          </w:p>
        </w:tc>
      </w:tr>
    </w:tbl>
    <w:p w:rsidR="009E28A0" w:rsidRPr="009E28A0" w:rsidRDefault="009E28A0" w:rsidP="009E28A0">
      <w:pPr>
        <w:autoSpaceDE w:val="0"/>
        <w:autoSpaceDN w:val="0"/>
        <w:adjustRightInd w:val="0"/>
        <w:ind w:right="-91"/>
        <w:jc w:val="both"/>
        <w:rPr>
          <w:rFonts w:ascii="Arial" w:eastAsia="Cambria" w:hAnsi="Arial" w:cs="Arial"/>
          <w:sz w:val="22"/>
          <w:szCs w:val="22"/>
          <w:u w:val="single"/>
          <w:lang w:val="es-CR" w:eastAsia="en-US"/>
        </w:rPr>
      </w:pPr>
    </w:p>
    <w:p w:rsidR="009E28A0" w:rsidRPr="009E28A0" w:rsidRDefault="009E28A0" w:rsidP="009E28A0">
      <w:pPr>
        <w:autoSpaceDE w:val="0"/>
        <w:autoSpaceDN w:val="0"/>
        <w:adjustRightInd w:val="0"/>
        <w:ind w:right="-91"/>
        <w:jc w:val="both"/>
        <w:rPr>
          <w:rFonts w:ascii="Arial" w:eastAsia="Cambria" w:hAnsi="Arial" w:cs="Arial"/>
          <w:sz w:val="22"/>
          <w:szCs w:val="22"/>
          <w:u w:val="single"/>
          <w:lang w:val="es-CR" w:eastAsia="en-US"/>
        </w:rPr>
      </w:pPr>
      <w:r w:rsidRPr="009E28A0">
        <w:rPr>
          <w:rFonts w:ascii="Arial" w:eastAsia="Cambria" w:hAnsi="Arial" w:cs="Arial"/>
          <w:sz w:val="22"/>
          <w:szCs w:val="22"/>
          <w:u w:val="single"/>
          <w:lang w:eastAsia="en-US"/>
        </w:rPr>
        <w:t>Comisión Especial de Ambiente:</w:t>
      </w:r>
    </w:p>
    <w:p w:rsidR="009E28A0" w:rsidRPr="009E28A0" w:rsidRDefault="009E28A0" w:rsidP="009E28A0">
      <w:pPr>
        <w:autoSpaceDE w:val="0"/>
        <w:autoSpaceDN w:val="0"/>
        <w:adjustRightInd w:val="0"/>
        <w:ind w:right="-91"/>
        <w:jc w:val="both"/>
        <w:rPr>
          <w:rFonts w:ascii="Arial" w:eastAsia="Cambria" w:hAnsi="Arial" w:cs="Arial"/>
          <w:sz w:val="22"/>
          <w:szCs w:val="22"/>
          <w:u w:val="single"/>
          <w:lang w:val="es-CR" w:eastAsia="en-US"/>
        </w:rPr>
      </w:pPr>
    </w:p>
    <w:tbl>
      <w:tblPr>
        <w:tblStyle w:val="Tablaconcuadrcula13"/>
        <w:tblW w:w="9776" w:type="dxa"/>
        <w:tblLayout w:type="fixed"/>
        <w:tblLook w:val="04A0" w:firstRow="1" w:lastRow="0" w:firstColumn="1" w:lastColumn="0" w:noHBand="0" w:noVBand="1"/>
      </w:tblPr>
      <w:tblGrid>
        <w:gridCol w:w="1554"/>
        <w:gridCol w:w="2835"/>
        <w:gridCol w:w="1984"/>
        <w:gridCol w:w="3403"/>
      </w:tblGrid>
      <w:tr w:rsidR="009E28A0" w:rsidRPr="009E28A0" w:rsidTr="005C22C0">
        <w:tc>
          <w:tcPr>
            <w:tcW w:w="155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 Expediente</w:t>
            </w:r>
          </w:p>
        </w:tc>
        <w:tc>
          <w:tcPr>
            <w:tcW w:w="2835"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Nombre del Proyecto</w:t>
            </w:r>
          </w:p>
        </w:tc>
        <w:tc>
          <w:tcPr>
            <w:tcW w:w="198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Transgrede o no la Autonomía Universitaria</w:t>
            </w:r>
          </w:p>
        </w:tc>
        <w:tc>
          <w:tcPr>
            <w:tcW w:w="3403"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Observaciones de las diferentes entidades institucionales consultadas</w:t>
            </w:r>
          </w:p>
        </w:tc>
      </w:tr>
      <w:tr w:rsidR="009E28A0" w:rsidRPr="009E28A0" w:rsidTr="005C22C0">
        <w:tc>
          <w:tcPr>
            <w:tcW w:w="155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hAnsi="Arial" w:cs="Arial"/>
                <w:b/>
                <w:sz w:val="22"/>
                <w:szCs w:val="22"/>
              </w:rPr>
              <w:t>20.985</w:t>
            </w:r>
          </w:p>
        </w:tc>
        <w:tc>
          <w:tcPr>
            <w:tcW w:w="2835" w:type="dxa"/>
          </w:tcPr>
          <w:p w:rsidR="009E28A0" w:rsidRPr="009E28A0" w:rsidRDefault="009E28A0" w:rsidP="009E28A0">
            <w:pPr>
              <w:autoSpaceDE w:val="0"/>
              <w:autoSpaceDN w:val="0"/>
              <w:adjustRightInd w:val="0"/>
              <w:ind w:right="-91"/>
              <w:jc w:val="both"/>
              <w:rPr>
                <w:rFonts w:ascii="Arial" w:eastAsia="Cambria" w:hAnsi="Arial" w:cs="Arial"/>
                <w:b/>
                <w:sz w:val="22"/>
                <w:szCs w:val="22"/>
                <w:lang w:eastAsia="en-US"/>
              </w:rPr>
            </w:pPr>
            <w:r w:rsidRPr="009E28A0">
              <w:rPr>
                <w:rFonts w:ascii="Arial" w:eastAsia="SimSun" w:hAnsi="Arial" w:cs="Arial"/>
                <w:b/>
                <w:iCs/>
                <w:sz w:val="20"/>
                <w:szCs w:val="20"/>
              </w:rPr>
              <w:t>“Ley para combatir la contaminación por plástico y proteger el Ambiente”, (texto sustitutivo)</w:t>
            </w:r>
          </w:p>
        </w:tc>
        <w:tc>
          <w:tcPr>
            <w:tcW w:w="198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w:t>
            </w:r>
          </w:p>
        </w:tc>
        <w:tc>
          <w:tcPr>
            <w:tcW w:w="3403" w:type="dxa"/>
          </w:tcPr>
          <w:p w:rsidR="009E28A0" w:rsidRPr="009E28A0" w:rsidRDefault="009E28A0" w:rsidP="009E28A0">
            <w:pPr>
              <w:autoSpaceDE w:val="0"/>
              <w:autoSpaceDN w:val="0"/>
              <w:adjustRightInd w:val="0"/>
              <w:ind w:right="-91"/>
              <w:jc w:val="both"/>
              <w:rPr>
                <w:rFonts w:ascii="Arial" w:eastAsia="Cambria" w:hAnsi="Arial" w:cs="Arial"/>
                <w:b/>
                <w:sz w:val="20"/>
                <w:szCs w:val="20"/>
                <w:u w:val="single"/>
                <w:lang w:eastAsia="en-US"/>
              </w:rPr>
            </w:pPr>
            <w:r w:rsidRPr="009E28A0">
              <w:rPr>
                <w:rFonts w:ascii="Arial" w:eastAsia="Cambria" w:hAnsi="Arial" w:cs="Arial"/>
                <w:b/>
                <w:sz w:val="20"/>
                <w:szCs w:val="20"/>
                <w:u w:val="single"/>
                <w:lang w:eastAsia="en-US"/>
              </w:rPr>
              <w:t>Unidad Institucional de Gestión Ambiental y Seguridad Laboral</w:t>
            </w:r>
          </w:p>
          <w:p w:rsidR="009E28A0" w:rsidRPr="009E28A0" w:rsidRDefault="009E28A0" w:rsidP="009E28A0">
            <w:pPr>
              <w:rPr>
                <w:rFonts w:ascii="Arial" w:eastAsia="Cambria" w:hAnsi="Arial" w:cs="Arial"/>
                <w:sz w:val="22"/>
                <w:szCs w:val="22"/>
                <w:lang w:eastAsia="en-US"/>
              </w:rPr>
            </w:pP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“Es importante indicar que anteriormente se hizo la solicitud sobre dicho expediente y se analizó </w:t>
            </w:r>
            <w:r w:rsidRPr="009E28A0">
              <w:rPr>
                <w:rFonts w:ascii="Arial" w:eastAsiaTheme="minorHAnsi" w:hAnsi="Arial" w:cs="Arial"/>
                <w:i/>
                <w:color w:val="000000"/>
                <w:sz w:val="20"/>
                <w:szCs w:val="20"/>
                <w:lang w:eastAsia="en-US"/>
              </w:rPr>
              <w:lastRenderedPageBreak/>
              <w:t xml:space="preserve">y resumió los criterios dados por otras dependencias institucionales, por lo tanto, procedo a indicar las siguientes observaciones: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1. Se propone una modificación en cuanto a la redacción del artículo 3, quedando de la siguiente forma: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“Se prohíbe en todo el territorio nacional la comercialización de bolsas y pajillas de plástico, que el Ministerio de Salud establezca y certifique como no degradables, no biodegradables, no </w:t>
            </w:r>
            <w:proofErr w:type="spellStart"/>
            <w:r w:rsidRPr="009E28A0">
              <w:rPr>
                <w:rFonts w:ascii="Arial" w:eastAsiaTheme="minorHAnsi" w:hAnsi="Arial" w:cs="Arial"/>
                <w:i/>
                <w:color w:val="000000"/>
                <w:sz w:val="20"/>
                <w:szCs w:val="20"/>
                <w:lang w:eastAsia="en-US"/>
              </w:rPr>
              <w:t>hidrodegradables</w:t>
            </w:r>
            <w:proofErr w:type="spellEnd"/>
            <w:r w:rsidRPr="009E28A0">
              <w:rPr>
                <w:rFonts w:ascii="Arial" w:eastAsiaTheme="minorHAnsi" w:hAnsi="Arial" w:cs="Arial"/>
                <w:i/>
                <w:color w:val="000000"/>
                <w:sz w:val="20"/>
                <w:szCs w:val="20"/>
                <w:lang w:eastAsia="en-US"/>
              </w:rPr>
              <w:t xml:space="preserve"> o cualquier otro similar que pueda certificar su nulo o menor impacto ambiental”.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2.Se debe indicar el criterio de degradación del plástico, es decir, debe quedar claro cuál será el criterio a utilizar para aceptar el plástico que, si se pueda utilizar como sustituto, de modo que se especifique el porcentaje y tiempo de degradación, ya sea que se biodegrade, degrade o </w:t>
            </w:r>
            <w:proofErr w:type="spellStart"/>
            <w:r w:rsidRPr="009E28A0">
              <w:rPr>
                <w:rFonts w:ascii="Arial" w:eastAsiaTheme="minorHAnsi" w:hAnsi="Arial" w:cs="Arial"/>
                <w:i/>
                <w:color w:val="000000"/>
                <w:sz w:val="20"/>
                <w:szCs w:val="20"/>
                <w:lang w:eastAsia="en-US"/>
              </w:rPr>
              <w:t>hidrodegrade</w:t>
            </w:r>
            <w:proofErr w:type="spellEnd"/>
            <w:r w:rsidRPr="009E28A0">
              <w:rPr>
                <w:rFonts w:ascii="Arial" w:eastAsiaTheme="minorHAnsi" w:hAnsi="Arial" w:cs="Arial"/>
                <w:i/>
                <w:color w:val="000000"/>
                <w:sz w:val="20"/>
                <w:szCs w:val="20"/>
                <w:lang w:eastAsia="en-US"/>
              </w:rPr>
              <w:t xml:space="preserve">.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3.Al indicar que el Ministerio de Salud deberá certificar dichos productos, de manera tal que se defina si bajo esas condiciones son comercializables o no; se recomienda definir la forma en la que se dará esa certificación, para que el consumidor pueda identificar y confiar en que de manera fidedigna el producto que adquiere cumple con lo que indica la propuesta de ley. Es importante que pueda generarse una </w:t>
            </w:r>
            <w:proofErr w:type="spellStart"/>
            <w:r w:rsidRPr="009E28A0">
              <w:rPr>
                <w:rFonts w:ascii="Arial" w:eastAsiaTheme="minorHAnsi" w:hAnsi="Arial" w:cs="Arial"/>
                <w:i/>
                <w:color w:val="000000"/>
                <w:sz w:val="20"/>
                <w:szCs w:val="20"/>
                <w:lang w:eastAsia="en-US"/>
              </w:rPr>
              <w:t>ecoetiqueta</w:t>
            </w:r>
            <w:proofErr w:type="spellEnd"/>
            <w:r w:rsidRPr="009E28A0">
              <w:rPr>
                <w:rFonts w:ascii="Arial" w:eastAsiaTheme="minorHAnsi" w:hAnsi="Arial" w:cs="Arial"/>
                <w:i/>
                <w:color w:val="000000"/>
                <w:sz w:val="20"/>
                <w:szCs w:val="20"/>
                <w:lang w:eastAsia="en-US"/>
              </w:rPr>
              <w:t xml:space="preserve"> oficial, emitida por el Ministerio de Salud o bien el Ministerio de Ambiente, Energía, que permita asegurar al consumidor la naturaleza del material que compra, es decir; si es biodegradable, </w:t>
            </w:r>
          </w:p>
          <w:p w:rsidR="009E28A0" w:rsidRPr="009E28A0" w:rsidRDefault="009E28A0" w:rsidP="009E28A0">
            <w:pPr>
              <w:pageBreakBefore/>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biodegradable, </w:t>
            </w:r>
            <w:proofErr w:type="spellStart"/>
            <w:r w:rsidRPr="009E28A0">
              <w:rPr>
                <w:rFonts w:ascii="Arial" w:eastAsiaTheme="minorHAnsi" w:hAnsi="Arial" w:cs="Arial"/>
                <w:i/>
                <w:color w:val="000000"/>
                <w:sz w:val="20"/>
                <w:szCs w:val="20"/>
                <w:lang w:eastAsia="en-US"/>
              </w:rPr>
              <w:t>compostable</w:t>
            </w:r>
            <w:proofErr w:type="spellEnd"/>
            <w:r w:rsidRPr="009E28A0">
              <w:rPr>
                <w:rFonts w:ascii="Arial" w:eastAsiaTheme="minorHAnsi" w:hAnsi="Arial" w:cs="Arial"/>
                <w:i/>
                <w:color w:val="000000"/>
                <w:sz w:val="20"/>
                <w:szCs w:val="20"/>
                <w:lang w:eastAsia="en-US"/>
              </w:rPr>
              <w:t xml:space="preserve"> o </w:t>
            </w:r>
            <w:proofErr w:type="spellStart"/>
            <w:r w:rsidRPr="009E28A0">
              <w:rPr>
                <w:rFonts w:ascii="Arial" w:eastAsiaTheme="minorHAnsi" w:hAnsi="Arial" w:cs="Arial"/>
                <w:i/>
                <w:color w:val="000000"/>
                <w:sz w:val="20"/>
                <w:szCs w:val="20"/>
                <w:lang w:eastAsia="en-US"/>
              </w:rPr>
              <w:t>compostable</w:t>
            </w:r>
            <w:proofErr w:type="spellEnd"/>
            <w:r w:rsidRPr="009E28A0">
              <w:rPr>
                <w:rFonts w:ascii="Arial" w:eastAsiaTheme="minorHAnsi" w:hAnsi="Arial" w:cs="Arial"/>
                <w:i/>
                <w:color w:val="000000"/>
                <w:sz w:val="20"/>
                <w:szCs w:val="20"/>
                <w:lang w:eastAsia="en-US"/>
              </w:rPr>
              <w:t xml:space="preserve"> en ambientes marinos, según el porcentaje y periodos de degradación previamente aceptados.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4.Se recomienda incluir que además de recolectar como mínimo un 50% de las botellas de plástico que se comercializan, los comercializadores y distribuidores deban reciclar dichas botellas, además de incluir plazos para la gestión de las mismas, de manera que, se propone una modificación al </w:t>
            </w:r>
            <w:r w:rsidRPr="009E28A0">
              <w:rPr>
                <w:rFonts w:ascii="Arial" w:eastAsiaTheme="minorHAnsi" w:hAnsi="Arial" w:cs="Arial"/>
                <w:i/>
                <w:color w:val="000000"/>
                <w:sz w:val="20"/>
                <w:szCs w:val="20"/>
                <w:lang w:eastAsia="en-US"/>
              </w:rPr>
              <w:lastRenderedPageBreak/>
              <w:t xml:space="preserve">texto del artículo 4, quedando de la siguiente manera: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“Recolectar y reciclar como mínimo un 50% de las botellas de plástico que comercializan y distribuyen en el mercado nacional anualmente. Al menos deberán recolectar un 10% por año, hasta llegar al 50%, en un plazo máximo de 5 años”.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5.Se recomienda incluir en el texto, la metodología que seguirá el Ministerio de Ambiente, Energía para la fiscalización y el cumplimiento del artículo 4, de manera tal que se defina si será por reglamento, inspecciones, alianzas con el Ministerio de Industria y Comercio u otros medios que permitan garantizar una correcta fiscalización.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6.Las universidades tienen un papel importante en la Educación Ambiental, por lo tanto, en el artículo 5, parece que el Ministerio de Salud y el MINAE son entes para coordinar, pero no para llevar procesos de Educación Ambiental. Por lo que se recomienda que la implementación del programa sea en colaboración con las universidades. </w:t>
            </w:r>
          </w:p>
          <w:p w:rsidR="009E28A0" w:rsidRPr="009E28A0" w:rsidRDefault="009E28A0" w:rsidP="009E28A0">
            <w:pPr>
              <w:jc w:val="both"/>
              <w:rPr>
                <w:rFonts w:ascii="Arial" w:eastAsia="Cambria" w:hAnsi="Arial" w:cs="Arial"/>
                <w:sz w:val="22"/>
                <w:szCs w:val="22"/>
                <w:lang w:eastAsia="en-US"/>
              </w:rPr>
            </w:pPr>
            <w:r w:rsidRPr="009E28A0">
              <w:rPr>
                <w:rFonts w:ascii="Arial" w:eastAsiaTheme="minorHAnsi" w:hAnsi="Arial" w:cs="Arial"/>
                <w:i/>
                <w:color w:val="000000"/>
                <w:sz w:val="20"/>
                <w:szCs w:val="20"/>
                <w:lang w:val="es-CR" w:eastAsia="en-US"/>
              </w:rPr>
              <w:t>Es importante indicar que el proyecto no afecta el accionar de la Institución, la cual ha estado trabajando en esta misma línea.”</w:t>
            </w:r>
          </w:p>
        </w:tc>
      </w:tr>
    </w:tbl>
    <w:p w:rsidR="009E28A0" w:rsidRPr="009E28A0" w:rsidRDefault="009E28A0" w:rsidP="009E28A0">
      <w:pPr>
        <w:autoSpaceDE w:val="0"/>
        <w:autoSpaceDN w:val="0"/>
        <w:adjustRightInd w:val="0"/>
        <w:ind w:right="-91"/>
        <w:jc w:val="both"/>
        <w:rPr>
          <w:rFonts w:ascii="Arial" w:eastAsia="Cambria" w:hAnsi="Arial" w:cs="Arial"/>
          <w:sz w:val="22"/>
          <w:szCs w:val="22"/>
          <w:lang w:val="es-CR" w:eastAsia="en-US"/>
        </w:rPr>
      </w:pPr>
    </w:p>
    <w:p w:rsidR="009E28A0" w:rsidRPr="009E28A0" w:rsidRDefault="009E28A0" w:rsidP="009E28A0">
      <w:pPr>
        <w:autoSpaceDE w:val="0"/>
        <w:autoSpaceDN w:val="0"/>
        <w:adjustRightInd w:val="0"/>
        <w:ind w:right="-91"/>
        <w:jc w:val="both"/>
        <w:rPr>
          <w:rFonts w:ascii="Arial" w:eastAsia="Cambria" w:hAnsi="Arial" w:cs="Arial"/>
          <w:sz w:val="22"/>
          <w:szCs w:val="22"/>
          <w:lang w:val="es-CR" w:eastAsia="en-US"/>
        </w:rPr>
      </w:pPr>
      <w:r w:rsidRPr="009E28A0">
        <w:rPr>
          <w:rFonts w:ascii="Arial" w:eastAsia="Cambria" w:hAnsi="Arial" w:cs="Arial"/>
          <w:sz w:val="22"/>
          <w:szCs w:val="22"/>
          <w:u w:val="single"/>
          <w:lang w:eastAsia="en-US"/>
        </w:rPr>
        <w:t>Comisión Permanente Especial de Derechos Humanos:</w:t>
      </w:r>
    </w:p>
    <w:p w:rsidR="009E28A0" w:rsidRPr="009E28A0" w:rsidRDefault="009E28A0" w:rsidP="009E28A0">
      <w:pPr>
        <w:autoSpaceDE w:val="0"/>
        <w:autoSpaceDN w:val="0"/>
        <w:adjustRightInd w:val="0"/>
        <w:ind w:right="-91"/>
        <w:jc w:val="both"/>
        <w:rPr>
          <w:rFonts w:ascii="Arial" w:eastAsia="Cambria" w:hAnsi="Arial" w:cs="Arial"/>
          <w:sz w:val="22"/>
          <w:szCs w:val="22"/>
          <w:lang w:val="es-CR" w:eastAsia="en-US"/>
        </w:rPr>
      </w:pPr>
    </w:p>
    <w:tbl>
      <w:tblPr>
        <w:tblStyle w:val="Tablaconcuadrcula13"/>
        <w:tblW w:w="9776" w:type="dxa"/>
        <w:tblLayout w:type="fixed"/>
        <w:tblLook w:val="04A0" w:firstRow="1" w:lastRow="0" w:firstColumn="1" w:lastColumn="0" w:noHBand="0" w:noVBand="1"/>
      </w:tblPr>
      <w:tblGrid>
        <w:gridCol w:w="1554"/>
        <w:gridCol w:w="2835"/>
        <w:gridCol w:w="1984"/>
        <w:gridCol w:w="3403"/>
      </w:tblGrid>
      <w:tr w:rsidR="009E28A0" w:rsidRPr="009E28A0" w:rsidTr="005C22C0">
        <w:tc>
          <w:tcPr>
            <w:tcW w:w="155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 Expediente</w:t>
            </w:r>
          </w:p>
        </w:tc>
        <w:tc>
          <w:tcPr>
            <w:tcW w:w="2835"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Nombre del Proyecto</w:t>
            </w:r>
          </w:p>
        </w:tc>
        <w:tc>
          <w:tcPr>
            <w:tcW w:w="198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Transgrede o no la Autonomía Universitaria</w:t>
            </w:r>
          </w:p>
        </w:tc>
        <w:tc>
          <w:tcPr>
            <w:tcW w:w="3403"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Observaciones de las diferentes entidades institucionales consultadas</w:t>
            </w:r>
          </w:p>
        </w:tc>
      </w:tr>
      <w:tr w:rsidR="009E28A0" w:rsidRPr="009E28A0" w:rsidTr="005C22C0">
        <w:tc>
          <w:tcPr>
            <w:tcW w:w="155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hAnsi="Arial" w:cs="Arial"/>
                <w:b/>
                <w:sz w:val="22"/>
                <w:szCs w:val="22"/>
              </w:rPr>
              <w:t xml:space="preserve">21.031 </w:t>
            </w:r>
          </w:p>
        </w:tc>
        <w:tc>
          <w:tcPr>
            <w:tcW w:w="2835" w:type="dxa"/>
          </w:tcPr>
          <w:p w:rsidR="009E28A0" w:rsidRPr="009E28A0" w:rsidRDefault="009E28A0" w:rsidP="009E28A0">
            <w:pPr>
              <w:autoSpaceDE w:val="0"/>
              <w:autoSpaceDN w:val="0"/>
              <w:adjustRightInd w:val="0"/>
              <w:ind w:right="-91"/>
              <w:jc w:val="both"/>
              <w:rPr>
                <w:rFonts w:ascii="Arial" w:eastAsia="Cambria" w:hAnsi="Arial" w:cs="Arial"/>
                <w:b/>
                <w:sz w:val="22"/>
                <w:szCs w:val="22"/>
                <w:lang w:eastAsia="en-US"/>
              </w:rPr>
            </w:pPr>
            <w:r w:rsidRPr="009E28A0">
              <w:rPr>
                <w:rFonts w:ascii="Arial" w:eastAsia="SimSun" w:hAnsi="Arial" w:cs="Arial"/>
                <w:b/>
                <w:iCs/>
                <w:sz w:val="20"/>
                <w:szCs w:val="20"/>
              </w:rPr>
              <w:t>“Ley Reforma Integral a la Ley General del VIH”</w:t>
            </w:r>
          </w:p>
        </w:tc>
        <w:tc>
          <w:tcPr>
            <w:tcW w:w="198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w:t>
            </w:r>
          </w:p>
        </w:tc>
        <w:tc>
          <w:tcPr>
            <w:tcW w:w="3403" w:type="dxa"/>
          </w:tcPr>
          <w:p w:rsidR="009E28A0" w:rsidRPr="009E28A0" w:rsidRDefault="009E28A0" w:rsidP="009E28A0">
            <w:pPr>
              <w:autoSpaceDE w:val="0"/>
              <w:autoSpaceDN w:val="0"/>
              <w:adjustRightInd w:val="0"/>
              <w:ind w:right="-91"/>
              <w:jc w:val="both"/>
              <w:rPr>
                <w:rFonts w:ascii="Arial" w:eastAsia="Cambria" w:hAnsi="Arial" w:cs="Arial"/>
                <w:b/>
                <w:sz w:val="20"/>
                <w:szCs w:val="20"/>
                <w:u w:val="single"/>
                <w:lang w:eastAsia="en-US"/>
              </w:rPr>
            </w:pPr>
            <w:r w:rsidRPr="009E28A0">
              <w:rPr>
                <w:rFonts w:ascii="Arial" w:eastAsia="Cambria" w:hAnsi="Arial" w:cs="Arial"/>
                <w:b/>
                <w:sz w:val="20"/>
                <w:szCs w:val="20"/>
                <w:u w:val="single"/>
                <w:lang w:eastAsia="en-US"/>
              </w:rPr>
              <w:t>Asesoría Legal</w:t>
            </w:r>
          </w:p>
          <w:p w:rsidR="009E28A0" w:rsidRPr="009E28A0" w:rsidRDefault="009E28A0" w:rsidP="009E28A0">
            <w:pPr>
              <w:contextualSpacing/>
              <w:jc w:val="both"/>
              <w:rPr>
                <w:rFonts w:ascii="Arial" w:hAnsi="Arial" w:cs="Arial"/>
              </w:rPr>
            </w:pPr>
          </w:p>
          <w:p w:rsidR="009E28A0" w:rsidRPr="009E28A0" w:rsidRDefault="009E28A0" w:rsidP="009E28A0">
            <w:pPr>
              <w:contextualSpacing/>
              <w:jc w:val="both"/>
              <w:rPr>
                <w:rFonts w:ascii="Arial" w:hAnsi="Arial" w:cs="Arial"/>
                <w:i/>
                <w:sz w:val="20"/>
                <w:szCs w:val="20"/>
              </w:rPr>
            </w:pPr>
            <w:r w:rsidRPr="009E28A0">
              <w:rPr>
                <w:rFonts w:ascii="Arial" w:hAnsi="Arial" w:cs="Arial"/>
                <w:sz w:val="20"/>
                <w:szCs w:val="20"/>
              </w:rPr>
              <w:t>“</w:t>
            </w:r>
            <w:r w:rsidRPr="009E28A0">
              <w:rPr>
                <w:rFonts w:ascii="Arial" w:hAnsi="Arial" w:cs="Arial"/>
                <w:i/>
                <w:sz w:val="20"/>
                <w:szCs w:val="20"/>
              </w:rPr>
              <w:t xml:space="preserve">Sobre el particular esta Asesoría Legal, considera que, el hecho, que se dé una autorización al Consejo Nacional de Rectores, para verificar los currículos de las carreras indicadas en el artículo señalado, no conlleva una orden imperativa. </w:t>
            </w:r>
          </w:p>
          <w:p w:rsidR="009E28A0" w:rsidRPr="009E28A0" w:rsidRDefault="009E28A0" w:rsidP="009E28A0">
            <w:pPr>
              <w:ind w:left="175" w:hanging="175"/>
              <w:jc w:val="both"/>
              <w:rPr>
                <w:rFonts w:ascii="Arial" w:hAnsi="Arial" w:cs="Arial"/>
                <w:i/>
                <w:sz w:val="20"/>
                <w:szCs w:val="20"/>
              </w:rPr>
            </w:pPr>
          </w:p>
          <w:p w:rsidR="009E28A0" w:rsidRPr="009E28A0" w:rsidRDefault="009E28A0" w:rsidP="009E28A0">
            <w:pPr>
              <w:contextualSpacing/>
              <w:jc w:val="both"/>
              <w:rPr>
                <w:rFonts w:ascii="Arial" w:hAnsi="Arial" w:cs="Arial"/>
                <w:i/>
                <w:sz w:val="20"/>
                <w:szCs w:val="20"/>
              </w:rPr>
            </w:pPr>
            <w:r w:rsidRPr="009E28A0">
              <w:rPr>
                <w:rFonts w:ascii="Arial" w:hAnsi="Arial" w:cs="Arial"/>
                <w:i/>
                <w:sz w:val="20"/>
                <w:szCs w:val="20"/>
              </w:rPr>
              <w:t xml:space="preserve">Dejando de lado el punto anterior, el Instituto Tecnológico no tiene dentro de sus programas de formación carreras relacionadas con la formación de trabajadores de la Salud y Ciencias Sociales, por lo que desde este punto de vista no se estaría violentando la autonomía </w:t>
            </w:r>
            <w:r w:rsidRPr="009E28A0">
              <w:rPr>
                <w:rFonts w:ascii="Arial" w:hAnsi="Arial" w:cs="Arial"/>
                <w:i/>
                <w:sz w:val="20"/>
                <w:szCs w:val="20"/>
              </w:rPr>
              <w:lastRenderedPageBreak/>
              <w:t>que goza el Instituto Tecnológico de Costa Rica, de rango constitucional.”</w:t>
            </w:r>
          </w:p>
          <w:p w:rsidR="009E28A0" w:rsidRPr="009E28A0" w:rsidRDefault="009E28A0" w:rsidP="009E28A0">
            <w:pPr>
              <w:autoSpaceDE w:val="0"/>
              <w:autoSpaceDN w:val="0"/>
              <w:adjustRightInd w:val="0"/>
              <w:rPr>
                <w:rFonts w:eastAsiaTheme="minorHAnsi"/>
                <w:color w:val="000000"/>
                <w:lang w:eastAsia="en-US"/>
              </w:rPr>
            </w:pPr>
          </w:p>
          <w:p w:rsidR="009E28A0" w:rsidRPr="009E28A0" w:rsidRDefault="009E28A0" w:rsidP="009E28A0">
            <w:pPr>
              <w:autoSpaceDE w:val="0"/>
              <w:autoSpaceDN w:val="0"/>
              <w:adjustRightInd w:val="0"/>
              <w:ind w:right="-91"/>
              <w:jc w:val="both"/>
              <w:rPr>
                <w:rFonts w:ascii="Arial" w:eastAsia="Cambria" w:hAnsi="Arial" w:cs="Arial"/>
                <w:b/>
                <w:i/>
                <w:sz w:val="20"/>
                <w:szCs w:val="20"/>
                <w:u w:val="single"/>
                <w:lang w:eastAsia="en-US"/>
              </w:rPr>
            </w:pPr>
            <w:r w:rsidRPr="009E28A0">
              <w:rPr>
                <w:rFonts w:ascii="Arial" w:eastAsia="Cambria" w:hAnsi="Arial" w:cs="Arial"/>
                <w:b/>
                <w:i/>
                <w:sz w:val="20"/>
                <w:szCs w:val="20"/>
                <w:u w:val="single"/>
                <w:lang w:eastAsia="en-US"/>
              </w:rPr>
              <w:t>Clínica Atención Integral en Salud</w:t>
            </w:r>
          </w:p>
          <w:p w:rsidR="009E28A0" w:rsidRPr="009E28A0" w:rsidRDefault="009E28A0" w:rsidP="009E28A0">
            <w:pPr>
              <w:autoSpaceDE w:val="0"/>
              <w:autoSpaceDN w:val="0"/>
              <w:adjustRightInd w:val="0"/>
              <w:rPr>
                <w:rFonts w:ascii="Calibri" w:eastAsiaTheme="minorHAnsi" w:hAnsi="Calibri" w:cs="Calibri"/>
                <w:i/>
                <w:color w:val="000000"/>
                <w:lang w:eastAsia="en-US"/>
              </w:rPr>
            </w:pPr>
            <w:r w:rsidRPr="009E28A0">
              <w:rPr>
                <w:rFonts w:ascii="Calibri" w:eastAsiaTheme="minorHAnsi" w:hAnsi="Calibri" w:cs="Calibri"/>
                <w:i/>
                <w:color w:val="000000"/>
                <w:lang w:eastAsia="en-US"/>
              </w:rPr>
              <w:t xml:space="preserve">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w:t>
            </w:r>
            <w:r w:rsidRPr="009E28A0">
              <w:rPr>
                <w:rFonts w:ascii="Arial" w:eastAsiaTheme="minorHAnsi" w:hAnsi="Arial" w:cs="Arial"/>
                <w:b/>
                <w:i/>
                <w:color w:val="000000"/>
                <w:sz w:val="20"/>
                <w:szCs w:val="20"/>
                <w:lang w:eastAsia="en-US"/>
              </w:rPr>
              <w:t>1</w:t>
            </w:r>
            <w:r w:rsidRPr="009E28A0">
              <w:rPr>
                <w:rFonts w:ascii="Arial" w:eastAsiaTheme="minorHAnsi" w:hAnsi="Arial" w:cs="Arial"/>
                <w:b/>
                <w:bCs/>
                <w:i/>
                <w:color w:val="000000"/>
                <w:sz w:val="20"/>
                <w:szCs w:val="20"/>
                <w:lang w:eastAsia="en-US"/>
              </w:rPr>
              <w:t>.  Observaciones</w:t>
            </w:r>
            <w:r w:rsidRPr="009E28A0">
              <w:rPr>
                <w:rFonts w:ascii="Arial" w:eastAsiaTheme="minorHAnsi" w:hAnsi="Arial" w:cs="Arial"/>
                <w:i/>
                <w:color w:val="000000"/>
                <w:sz w:val="20"/>
                <w:szCs w:val="20"/>
                <w:lang w:eastAsia="en-US"/>
              </w:rPr>
              <w:t xml:space="preserve">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i/>
                <w:color w:val="000000"/>
                <w:sz w:val="20"/>
                <w:szCs w:val="20"/>
                <w:lang w:eastAsia="en-US"/>
              </w:rPr>
              <w:t xml:space="preserve">No se presentan observaciones al documento ““Ley Reforma Integral a la Ley General del VIH”, Expediente No. 21.031” </w:t>
            </w:r>
          </w:p>
          <w:p w:rsidR="009E28A0" w:rsidRPr="009E28A0" w:rsidRDefault="009E28A0" w:rsidP="009E28A0">
            <w:pPr>
              <w:autoSpaceDE w:val="0"/>
              <w:autoSpaceDN w:val="0"/>
              <w:adjustRightInd w:val="0"/>
              <w:jc w:val="both"/>
              <w:rPr>
                <w:rFonts w:ascii="Arial" w:eastAsiaTheme="minorHAnsi" w:hAnsi="Arial" w:cs="Arial"/>
                <w:i/>
                <w:color w:val="000000"/>
                <w:sz w:val="20"/>
                <w:szCs w:val="20"/>
                <w:lang w:eastAsia="en-US"/>
              </w:rPr>
            </w:pPr>
            <w:r w:rsidRPr="009E28A0">
              <w:rPr>
                <w:rFonts w:ascii="Arial" w:eastAsiaTheme="minorHAnsi" w:hAnsi="Arial" w:cs="Arial"/>
                <w:b/>
                <w:bCs/>
                <w:i/>
                <w:color w:val="000000"/>
                <w:sz w:val="20"/>
                <w:szCs w:val="20"/>
                <w:lang w:eastAsia="en-US"/>
              </w:rPr>
              <w:t>2. Indicar si apoya o no el Proyecto y las razones que justifican no apoyarlo</w:t>
            </w:r>
          </w:p>
          <w:p w:rsidR="009E28A0" w:rsidRPr="009E28A0" w:rsidRDefault="009E28A0" w:rsidP="009E28A0">
            <w:pPr>
              <w:autoSpaceDE w:val="0"/>
              <w:autoSpaceDN w:val="0"/>
              <w:adjustRightInd w:val="0"/>
              <w:ind w:right="-91"/>
              <w:jc w:val="both"/>
              <w:rPr>
                <w:rFonts w:ascii="Arial" w:eastAsia="Cambria" w:hAnsi="Arial" w:cs="Arial"/>
                <w:b/>
                <w:sz w:val="22"/>
                <w:szCs w:val="22"/>
                <w:lang w:eastAsia="en-US"/>
              </w:rPr>
            </w:pPr>
            <w:r w:rsidRPr="009E28A0">
              <w:rPr>
                <w:rFonts w:ascii="Arial" w:eastAsiaTheme="minorHAnsi" w:hAnsi="Arial" w:cs="Arial"/>
                <w:i/>
                <w:color w:val="000000"/>
                <w:sz w:val="20"/>
                <w:szCs w:val="20"/>
                <w:lang w:val="es-CR" w:eastAsia="en-US"/>
              </w:rPr>
              <w:t>Si apoyo el proyecto de Ley.”</w:t>
            </w:r>
          </w:p>
        </w:tc>
      </w:tr>
    </w:tbl>
    <w:p w:rsidR="009E28A0" w:rsidRPr="009E28A0" w:rsidRDefault="009E28A0" w:rsidP="009E28A0">
      <w:pPr>
        <w:autoSpaceDE w:val="0"/>
        <w:autoSpaceDN w:val="0"/>
        <w:adjustRightInd w:val="0"/>
        <w:ind w:right="-91"/>
        <w:jc w:val="both"/>
        <w:rPr>
          <w:rFonts w:ascii="Arial" w:eastAsia="Cambria" w:hAnsi="Arial" w:cs="Arial"/>
          <w:sz w:val="22"/>
          <w:szCs w:val="22"/>
          <w:lang w:val="es-CR" w:eastAsia="en-US"/>
        </w:rPr>
      </w:pPr>
    </w:p>
    <w:p w:rsidR="009E28A0" w:rsidRPr="009E28A0" w:rsidRDefault="009E28A0" w:rsidP="009E28A0">
      <w:pPr>
        <w:autoSpaceDE w:val="0"/>
        <w:autoSpaceDN w:val="0"/>
        <w:adjustRightInd w:val="0"/>
        <w:ind w:right="-91"/>
        <w:jc w:val="both"/>
        <w:rPr>
          <w:rFonts w:ascii="Arial" w:eastAsia="Cambria" w:hAnsi="Arial" w:cs="Arial"/>
          <w:sz w:val="22"/>
          <w:szCs w:val="22"/>
          <w:lang w:val="es-CR" w:eastAsia="en-US"/>
        </w:rPr>
      </w:pPr>
      <w:r w:rsidRPr="009E28A0">
        <w:rPr>
          <w:rFonts w:ascii="Arial" w:eastAsia="Cambria" w:hAnsi="Arial" w:cs="Arial"/>
          <w:sz w:val="22"/>
          <w:szCs w:val="22"/>
          <w:u w:val="single"/>
          <w:lang w:eastAsia="en-US"/>
        </w:rPr>
        <w:t>Comisión Permanente Ordinaria de Asuntos Económicos:</w:t>
      </w:r>
    </w:p>
    <w:p w:rsidR="009E28A0" w:rsidRPr="009E28A0" w:rsidRDefault="009E28A0" w:rsidP="009E28A0">
      <w:pPr>
        <w:autoSpaceDE w:val="0"/>
        <w:autoSpaceDN w:val="0"/>
        <w:adjustRightInd w:val="0"/>
        <w:ind w:right="-91"/>
        <w:jc w:val="both"/>
        <w:rPr>
          <w:rFonts w:ascii="Arial" w:eastAsia="Cambria" w:hAnsi="Arial" w:cs="Arial"/>
          <w:sz w:val="22"/>
          <w:szCs w:val="22"/>
          <w:lang w:val="es-CR" w:eastAsia="en-US"/>
        </w:rPr>
      </w:pPr>
    </w:p>
    <w:tbl>
      <w:tblPr>
        <w:tblStyle w:val="Tablaconcuadrcula13"/>
        <w:tblW w:w="9776" w:type="dxa"/>
        <w:tblLayout w:type="fixed"/>
        <w:tblLook w:val="04A0" w:firstRow="1" w:lastRow="0" w:firstColumn="1" w:lastColumn="0" w:noHBand="0" w:noVBand="1"/>
      </w:tblPr>
      <w:tblGrid>
        <w:gridCol w:w="1554"/>
        <w:gridCol w:w="2835"/>
        <w:gridCol w:w="1984"/>
        <w:gridCol w:w="3403"/>
      </w:tblGrid>
      <w:tr w:rsidR="009E28A0" w:rsidRPr="009E28A0" w:rsidTr="005C22C0">
        <w:tc>
          <w:tcPr>
            <w:tcW w:w="155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 Expediente</w:t>
            </w:r>
          </w:p>
        </w:tc>
        <w:tc>
          <w:tcPr>
            <w:tcW w:w="2835"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Nombre del Proyecto</w:t>
            </w:r>
          </w:p>
        </w:tc>
        <w:tc>
          <w:tcPr>
            <w:tcW w:w="198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Transgrede o no la Autonomía Universitaria</w:t>
            </w:r>
          </w:p>
        </w:tc>
        <w:tc>
          <w:tcPr>
            <w:tcW w:w="3403"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eastAsia="Cambria" w:hAnsi="Arial" w:cs="Arial"/>
                <w:b/>
                <w:sz w:val="22"/>
                <w:szCs w:val="22"/>
                <w:lang w:eastAsia="en-US"/>
              </w:rPr>
              <w:t>Observaciones de las diferentes entidades institucionales consultadas</w:t>
            </w:r>
          </w:p>
        </w:tc>
      </w:tr>
      <w:tr w:rsidR="009E28A0" w:rsidRPr="009E28A0" w:rsidTr="005C22C0">
        <w:tc>
          <w:tcPr>
            <w:tcW w:w="155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r w:rsidRPr="009E28A0">
              <w:rPr>
                <w:rFonts w:ascii="Arial" w:hAnsi="Arial" w:cs="Arial"/>
                <w:b/>
                <w:sz w:val="22"/>
                <w:szCs w:val="22"/>
              </w:rPr>
              <w:t>21.160</w:t>
            </w:r>
          </w:p>
        </w:tc>
        <w:tc>
          <w:tcPr>
            <w:tcW w:w="2835" w:type="dxa"/>
          </w:tcPr>
          <w:p w:rsidR="009E28A0" w:rsidRPr="009E28A0" w:rsidRDefault="009E28A0" w:rsidP="009E28A0">
            <w:pPr>
              <w:autoSpaceDE w:val="0"/>
              <w:autoSpaceDN w:val="0"/>
              <w:adjustRightInd w:val="0"/>
              <w:ind w:right="-91"/>
              <w:jc w:val="both"/>
              <w:rPr>
                <w:rFonts w:ascii="Arial" w:eastAsia="Cambria" w:hAnsi="Arial" w:cs="Arial"/>
                <w:b/>
                <w:sz w:val="22"/>
                <w:szCs w:val="22"/>
                <w:lang w:eastAsia="en-US"/>
              </w:rPr>
            </w:pPr>
            <w:r w:rsidRPr="009E28A0">
              <w:rPr>
                <w:rFonts w:ascii="Arial" w:eastAsia="SimSun" w:hAnsi="Arial" w:cs="Arial"/>
                <w:b/>
                <w:iCs/>
                <w:sz w:val="20"/>
                <w:szCs w:val="20"/>
              </w:rPr>
              <w:t>Ley “Reforma Integral a la Ley del Sistema Nacional para la Calidad, Ley No. 8279”</w:t>
            </w:r>
          </w:p>
        </w:tc>
        <w:tc>
          <w:tcPr>
            <w:tcW w:w="1984" w:type="dxa"/>
          </w:tcPr>
          <w:p w:rsidR="009E28A0" w:rsidRPr="009E28A0" w:rsidRDefault="009E28A0" w:rsidP="009E28A0">
            <w:pPr>
              <w:autoSpaceDE w:val="0"/>
              <w:autoSpaceDN w:val="0"/>
              <w:adjustRightInd w:val="0"/>
              <w:ind w:right="-91"/>
              <w:jc w:val="center"/>
              <w:rPr>
                <w:rFonts w:ascii="Arial" w:eastAsia="Cambria" w:hAnsi="Arial" w:cs="Arial"/>
                <w:b/>
                <w:sz w:val="22"/>
                <w:szCs w:val="22"/>
                <w:lang w:eastAsia="en-US"/>
              </w:rPr>
            </w:pPr>
          </w:p>
        </w:tc>
        <w:tc>
          <w:tcPr>
            <w:tcW w:w="3403" w:type="dxa"/>
          </w:tcPr>
          <w:p w:rsidR="009E28A0" w:rsidRPr="009E28A0" w:rsidRDefault="009E28A0" w:rsidP="009E28A0">
            <w:pPr>
              <w:autoSpaceDE w:val="0"/>
              <w:autoSpaceDN w:val="0"/>
              <w:adjustRightInd w:val="0"/>
              <w:ind w:right="-91"/>
              <w:rPr>
                <w:rFonts w:ascii="Arial" w:eastAsia="Cambria" w:hAnsi="Arial" w:cs="Arial"/>
                <w:b/>
                <w:sz w:val="18"/>
                <w:szCs w:val="18"/>
                <w:u w:val="single"/>
                <w:lang w:eastAsia="en-US"/>
              </w:rPr>
            </w:pPr>
            <w:r w:rsidRPr="009E28A0">
              <w:rPr>
                <w:rFonts w:ascii="Arial" w:eastAsia="Cambria" w:hAnsi="Arial" w:cs="Arial"/>
                <w:b/>
                <w:sz w:val="18"/>
                <w:szCs w:val="18"/>
                <w:u w:val="single"/>
                <w:lang w:eastAsia="en-US"/>
              </w:rPr>
              <w:t>Asesoría Legal</w:t>
            </w:r>
          </w:p>
          <w:p w:rsidR="009E28A0" w:rsidRPr="009E28A0" w:rsidRDefault="009E28A0" w:rsidP="009E28A0">
            <w:pPr>
              <w:autoSpaceDE w:val="0"/>
              <w:autoSpaceDN w:val="0"/>
              <w:adjustRightInd w:val="0"/>
              <w:ind w:right="-91"/>
              <w:rPr>
                <w:rFonts w:ascii="Arial" w:eastAsia="Cambria" w:hAnsi="Arial" w:cs="Arial"/>
                <w:b/>
                <w:sz w:val="22"/>
                <w:szCs w:val="22"/>
                <w:lang w:eastAsia="en-US"/>
              </w:rPr>
            </w:pPr>
          </w:p>
          <w:p w:rsidR="009E28A0" w:rsidRPr="009E28A0" w:rsidRDefault="009E28A0" w:rsidP="009E28A0">
            <w:pPr>
              <w:numPr>
                <w:ilvl w:val="0"/>
                <w:numId w:val="31"/>
              </w:numPr>
              <w:ind w:left="175" w:hanging="175"/>
              <w:contextualSpacing/>
              <w:jc w:val="both"/>
              <w:rPr>
                <w:rFonts w:ascii="Arial" w:hAnsi="Arial" w:cs="Arial"/>
                <w:i/>
                <w:color w:val="333333"/>
                <w:sz w:val="20"/>
                <w:szCs w:val="20"/>
                <w:lang w:eastAsia="es-CR"/>
              </w:rPr>
            </w:pPr>
            <w:r w:rsidRPr="009E28A0">
              <w:rPr>
                <w:rFonts w:ascii="Arial" w:hAnsi="Arial" w:cs="Arial"/>
                <w:i/>
                <w:color w:val="333333"/>
                <w:sz w:val="20"/>
                <w:szCs w:val="20"/>
                <w:lang w:eastAsia="es-CR"/>
              </w:rPr>
              <w:t>Se considera que estamos ante una propuesta de una ley técnica y que debe de analizarse a la luz de las actividades que realiza o pretende a futuro concretar el Instituto Tecnológico.</w:t>
            </w:r>
          </w:p>
          <w:p w:rsidR="009E28A0" w:rsidRPr="009E28A0" w:rsidRDefault="009E28A0" w:rsidP="009E28A0">
            <w:pPr>
              <w:numPr>
                <w:ilvl w:val="0"/>
                <w:numId w:val="31"/>
              </w:numPr>
              <w:ind w:left="175" w:hanging="175"/>
              <w:contextualSpacing/>
              <w:jc w:val="both"/>
              <w:rPr>
                <w:rFonts w:ascii="Arial" w:hAnsi="Arial" w:cs="Arial"/>
                <w:i/>
                <w:color w:val="333333"/>
                <w:sz w:val="20"/>
                <w:szCs w:val="20"/>
                <w:lang w:eastAsia="es-CR"/>
              </w:rPr>
            </w:pPr>
            <w:r w:rsidRPr="009E28A0">
              <w:rPr>
                <w:rFonts w:ascii="Arial" w:hAnsi="Arial" w:cs="Arial"/>
                <w:i/>
                <w:color w:val="333333"/>
                <w:sz w:val="20"/>
                <w:szCs w:val="20"/>
                <w:lang w:eastAsia="es-CR"/>
              </w:rPr>
              <w:t>Se desprende tanto de la exposición de motivos como del artículo la existencia de Convenios ratificados por Costa Rica relacionado con el tema que se pretende regular como lo es el sistema nacional de la Calidad y que se recomienda tener en cuenta.</w:t>
            </w:r>
          </w:p>
          <w:p w:rsidR="009E28A0" w:rsidRPr="009E28A0" w:rsidRDefault="009E28A0" w:rsidP="009E28A0">
            <w:pPr>
              <w:numPr>
                <w:ilvl w:val="0"/>
                <w:numId w:val="31"/>
              </w:numPr>
              <w:ind w:left="175" w:hanging="175"/>
              <w:contextualSpacing/>
              <w:jc w:val="both"/>
              <w:rPr>
                <w:rFonts w:ascii="Arial" w:hAnsi="Arial" w:cs="Arial"/>
                <w:i/>
                <w:color w:val="333333"/>
                <w:sz w:val="20"/>
                <w:szCs w:val="20"/>
                <w:lang w:eastAsia="es-CR"/>
              </w:rPr>
            </w:pPr>
            <w:r w:rsidRPr="009E28A0">
              <w:rPr>
                <w:rFonts w:ascii="Arial" w:hAnsi="Arial" w:cs="Arial"/>
                <w:i/>
                <w:color w:val="333333"/>
                <w:sz w:val="20"/>
                <w:szCs w:val="20"/>
                <w:lang w:eastAsia="es-CR"/>
              </w:rPr>
              <w:t>Esta Asesoría considera que el análisis debe hacerse en forma conjunta por especialistas en la materia. Bajo esta tesitura es conveniente que la propuesta sea sometida a un estudio bajo principios técnicos, así como de conveniencia y oportunidad.</w:t>
            </w:r>
          </w:p>
          <w:p w:rsidR="009E28A0" w:rsidRPr="009E28A0" w:rsidRDefault="009E28A0" w:rsidP="009E28A0">
            <w:pPr>
              <w:numPr>
                <w:ilvl w:val="0"/>
                <w:numId w:val="31"/>
              </w:numPr>
              <w:ind w:left="175" w:hanging="175"/>
              <w:contextualSpacing/>
              <w:jc w:val="both"/>
              <w:rPr>
                <w:rFonts w:ascii="Arial" w:hAnsi="Arial" w:cs="Arial"/>
                <w:i/>
                <w:color w:val="333333"/>
                <w:sz w:val="20"/>
                <w:szCs w:val="20"/>
                <w:lang w:eastAsia="es-CR"/>
              </w:rPr>
            </w:pPr>
            <w:r w:rsidRPr="009E28A0">
              <w:rPr>
                <w:rFonts w:ascii="Arial" w:hAnsi="Arial" w:cs="Arial"/>
                <w:i/>
                <w:color w:val="333333"/>
                <w:sz w:val="20"/>
                <w:szCs w:val="20"/>
                <w:lang w:eastAsia="es-CR"/>
              </w:rPr>
              <w:t>Por la naturaleza del tema estrictamente técnico que abarca la totalidad de la propuesta, imposibilita a la Asesoría Legal, indicar si la misma atenta o no contra la autonomía universitaria.</w:t>
            </w:r>
          </w:p>
          <w:p w:rsidR="009E28A0" w:rsidRPr="009E28A0" w:rsidRDefault="009E28A0" w:rsidP="009E28A0">
            <w:pPr>
              <w:numPr>
                <w:ilvl w:val="0"/>
                <w:numId w:val="31"/>
              </w:numPr>
              <w:ind w:left="175" w:hanging="175"/>
              <w:contextualSpacing/>
              <w:jc w:val="both"/>
              <w:rPr>
                <w:rFonts w:ascii="Arial" w:hAnsi="Arial" w:cs="Arial"/>
                <w:b/>
                <w:i/>
                <w:sz w:val="20"/>
                <w:szCs w:val="20"/>
              </w:rPr>
            </w:pPr>
            <w:r w:rsidRPr="009E28A0">
              <w:rPr>
                <w:rFonts w:ascii="Arial" w:hAnsi="Arial" w:cs="Arial"/>
                <w:i/>
                <w:color w:val="333333"/>
                <w:sz w:val="20"/>
                <w:szCs w:val="20"/>
                <w:lang w:eastAsia="es-CR"/>
              </w:rPr>
              <w:t xml:space="preserve">Por existir un plazo corto para entregar a la Asamblea Legislativa el requerimiento de la consulta, se recomienda solicitar una prórroga para pronunciarse a la espera de que las carreras que tienen centros con laboratorios </w:t>
            </w:r>
            <w:r w:rsidRPr="009E28A0">
              <w:rPr>
                <w:rFonts w:ascii="Arial" w:hAnsi="Arial" w:cs="Arial"/>
                <w:i/>
                <w:color w:val="333333"/>
                <w:sz w:val="20"/>
                <w:szCs w:val="20"/>
                <w:lang w:eastAsia="es-CR"/>
              </w:rPr>
              <w:lastRenderedPageBreak/>
              <w:t>pueden ofrecer su opinión respecto de la reforma pretendida.</w:t>
            </w:r>
          </w:p>
          <w:p w:rsidR="009E28A0" w:rsidRPr="009E28A0" w:rsidRDefault="009E28A0" w:rsidP="009E28A0">
            <w:pPr>
              <w:autoSpaceDE w:val="0"/>
              <w:autoSpaceDN w:val="0"/>
              <w:adjustRightInd w:val="0"/>
              <w:rPr>
                <w:rFonts w:ascii="Arial" w:eastAsiaTheme="minorHAnsi" w:hAnsi="Arial" w:cs="Arial"/>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151"/>
            </w:tblGrid>
            <w:tr w:rsidR="009E28A0" w:rsidRPr="009E28A0" w:rsidTr="005C22C0">
              <w:trPr>
                <w:trHeight w:val="93"/>
              </w:trPr>
              <w:tc>
                <w:tcPr>
                  <w:tcW w:w="3151" w:type="dxa"/>
                </w:tcPr>
                <w:p w:rsidR="009E28A0" w:rsidRPr="009E28A0" w:rsidRDefault="009E28A0" w:rsidP="009E28A0">
                  <w:pPr>
                    <w:autoSpaceDE w:val="0"/>
                    <w:autoSpaceDN w:val="0"/>
                    <w:adjustRightInd w:val="0"/>
                    <w:ind w:left="-78" w:right="-91"/>
                    <w:jc w:val="both"/>
                    <w:rPr>
                      <w:rFonts w:ascii="Arial" w:eastAsiaTheme="minorHAnsi" w:hAnsi="Arial" w:cs="Arial"/>
                      <w:b/>
                      <w:bCs/>
                      <w:color w:val="000000"/>
                      <w:sz w:val="18"/>
                      <w:szCs w:val="18"/>
                      <w:lang w:val="es-CR" w:eastAsia="en-US"/>
                    </w:rPr>
                  </w:pPr>
                  <w:r w:rsidRPr="009E28A0">
                    <w:rPr>
                      <w:rFonts w:ascii="Arial" w:eastAsia="Cambria" w:hAnsi="Arial" w:cs="Arial"/>
                      <w:b/>
                      <w:sz w:val="18"/>
                      <w:szCs w:val="18"/>
                      <w:u w:val="single"/>
                      <w:lang w:val="es-CR" w:eastAsia="en-US"/>
                    </w:rPr>
                    <w:t>Escuela de Ingeniería en Producción Industrial</w:t>
                  </w:r>
                  <w:r w:rsidRPr="009E28A0">
                    <w:rPr>
                      <w:rFonts w:ascii="Arial" w:eastAsiaTheme="minorHAnsi" w:hAnsi="Arial" w:cs="Arial"/>
                      <w:b/>
                      <w:bCs/>
                      <w:color w:val="000000"/>
                      <w:sz w:val="18"/>
                      <w:szCs w:val="18"/>
                      <w:lang w:val="es-CR" w:eastAsia="en-US"/>
                    </w:rPr>
                    <w:t xml:space="preserve"> </w:t>
                  </w:r>
                </w:p>
                <w:p w:rsidR="009E28A0" w:rsidRPr="009E28A0" w:rsidRDefault="009E28A0" w:rsidP="009E28A0">
                  <w:pPr>
                    <w:autoSpaceDE w:val="0"/>
                    <w:autoSpaceDN w:val="0"/>
                    <w:adjustRightInd w:val="0"/>
                    <w:ind w:left="-78" w:right="-91"/>
                    <w:rPr>
                      <w:rFonts w:ascii="Arial" w:eastAsiaTheme="minorHAnsi" w:hAnsi="Arial" w:cs="Arial"/>
                      <w:b/>
                      <w:bCs/>
                      <w:color w:val="000000"/>
                      <w:sz w:val="18"/>
                      <w:szCs w:val="18"/>
                      <w:lang w:val="es-CR" w:eastAsia="en-US"/>
                    </w:rPr>
                  </w:pPr>
                </w:p>
                <w:tbl>
                  <w:tblPr>
                    <w:tblW w:w="3040" w:type="dxa"/>
                    <w:tblBorders>
                      <w:top w:val="nil"/>
                      <w:left w:val="nil"/>
                      <w:bottom w:val="nil"/>
                      <w:right w:val="nil"/>
                    </w:tblBorders>
                    <w:tblLayout w:type="fixed"/>
                    <w:tblLook w:val="0000" w:firstRow="0" w:lastRow="0" w:firstColumn="0" w:lastColumn="0" w:noHBand="0" w:noVBand="0"/>
                  </w:tblPr>
                  <w:tblGrid>
                    <w:gridCol w:w="3040"/>
                  </w:tblGrid>
                  <w:tr w:rsidR="009E28A0" w:rsidRPr="009E28A0" w:rsidTr="005C22C0">
                    <w:trPr>
                      <w:trHeight w:val="1050"/>
                    </w:trPr>
                    <w:tc>
                      <w:tcPr>
                        <w:tcW w:w="3040" w:type="dxa"/>
                      </w:tcPr>
                      <w:p w:rsidR="009E28A0" w:rsidRPr="009E28A0" w:rsidRDefault="009E28A0" w:rsidP="009E28A0">
                        <w:pPr>
                          <w:autoSpaceDE w:val="0"/>
                          <w:autoSpaceDN w:val="0"/>
                          <w:adjustRightInd w:val="0"/>
                          <w:ind w:left="-110"/>
                          <w:jc w:val="both"/>
                          <w:rPr>
                            <w:rFonts w:ascii="Arial" w:eastAsiaTheme="minorHAnsi" w:hAnsi="Arial" w:cs="Arial"/>
                            <w:i/>
                            <w:color w:val="000000"/>
                            <w:sz w:val="20"/>
                            <w:szCs w:val="20"/>
                            <w:lang w:val="es-CR" w:eastAsia="en-US"/>
                          </w:rPr>
                        </w:pPr>
                        <w:r w:rsidRPr="009E28A0">
                          <w:rPr>
                            <w:rFonts w:ascii="Arial" w:eastAsiaTheme="minorHAnsi" w:hAnsi="Arial" w:cs="Arial"/>
                            <w:i/>
                            <w:color w:val="000000"/>
                            <w:sz w:val="20"/>
                            <w:szCs w:val="20"/>
                            <w:lang w:val="es-CR" w:eastAsia="en-US"/>
                          </w:rPr>
                          <w:t>“En términos generales, se apoya el proyecto de Ley expuesto en el presente texto consultivo. Se generan observaciones con base a inquietudes puntuales que surgen conforme se desarrolla la propuesta.”</w:t>
                        </w:r>
                      </w:p>
                      <w:p w:rsidR="009E28A0" w:rsidRPr="009E28A0" w:rsidRDefault="009E28A0" w:rsidP="009E28A0">
                        <w:pPr>
                          <w:autoSpaceDE w:val="0"/>
                          <w:autoSpaceDN w:val="0"/>
                          <w:adjustRightInd w:val="0"/>
                          <w:ind w:left="-110"/>
                          <w:jc w:val="both"/>
                          <w:rPr>
                            <w:rFonts w:ascii="Arial" w:eastAsiaTheme="minorHAnsi" w:hAnsi="Arial" w:cs="Arial"/>
                            <w:i/>
                            <w:color w:val="000000"/>
                            <w:sz w:val="20"/>
                            <w:szCs w:val="20"/>
                            <w:lang w:val="es-CR" w:eastAsia="en-US"/>
                          </w:rPr>
                        </w:pPr>
                      </w:p>
                      <w:p w:rsidR="009E28A0" w:rsidRPr="009E28A0" w:rsidRDefault="009E28A0" w:rsidP="009E28A0">
                        <w:pPr>
                          <w:autoSpaceDE w:val="0"/>
                          <w:autoSpaceDN w:val="0"/>
                          <w:adjustRightInd w:val="0"/>
                          <w:ind w:left="-78" w:right="-91"/>
                          <w:jc w:val="both"/>
                          <w:rPr>
                            <w:rFonts w:ascii="Arial" w:eastAsia="Cambria" w:hAnsi="Arial" w:cs="Arial"/>
                            <w:b/>
                            <w:sz w:val="20"/>
                            <w:szCs w:val="20"/>
                            <w:u w:val="single"/>
                            <w:lang w:val="es-CR" w:eastAsia="en-US"/>
                          </w:rPr>
                        </w:pPr>
                        <w:r w:rsidRPr="009E28A0">
                          <w:rPr>
                            <w:rFonts w:ascii="Arial" w:eastAsia="Cambria" w:hAnsi="Arial" w:cs="Arial"/>
                            <w:b/>
                            <w:sz w:val="20"/>
                            <w:szCs w:val="20"/>
                            <w:u w:val="single"/>
                            <w:lang w:val="es-CR" w:eastAsia="en-US"/>
                          </w:rPr>
                          <w:t>Oficina de Planificación Institucional</w:t>
                        </w:r>
                      </w:p>
                      <w:p w:rsidR="009E28A0" w:rsidRPr="009E28A0" w:rsidRDefault="009E28A0" w:rsidP="009E28A0">
                        <w:pPr>
                          <w:autoSpaceDE w:val="0"/>
                          <w:autoSpaceDN w:val="0"/>
                          <w:adjustRightInd w:val="0"/>
                          <w:ind w:left="-78" w:right="-91"/>
                          <w:jc w:val="both"/>
                          <w:rPr>
                            <w:rFonts w:ascii="Arial" w:eastAsia="Cambria" w:hAnsi="Arial" w:cs="Arial"/>
                            <w:b/>
                            <w:sz w:val="20"/>
                            <w:szCs w:val="20"/>
                            <w:u w:val="single"/>
                            <w:lang w:val="es-CR" w:eastAsia="en-US"/>
                          </w:rPr>
                        </w:pPr>
                      </w:p>
                      <w:p w:rsidR="009E28A0" w:rsidRPr="009E28A0" w:rsidRDefault="009E28A0" w:rsidP="009E28A0">
                        <w:pPr>
                          <w:jc w:val="both"/>
                          <w:rPr>
                            <w:rFonts w:ascii="Arial" w:hAnsi="Arial" w:cs="Arial"/>
                            <w:b/>
                            <w:i/>
                            <w:sz w:val="20"/>
                            <w:szCs w:val="20"/>
                            <w:lang w:val="es-CR"/>
                          </w:rPr>
                        </w:pPr>
                        <w:r w:rsidRPr="009E28A0">
                          <w:rPr>
                            <w:rFonts w:ascii="Arial" w:hAnsi="Arial" w:cs="Arial"/>
                            <w:b/>
                            <w:i/>
                            <w:sz w:val="20"/>
                            <w:szCs w:val="20"/>
                            <w:lang w:val="es-CR"/>
                          </w:rPr>
                          <w:t>RECOMENDACIÓN:</w:t>
                        </w:r>
                      </w:p>
                      <w:p w:rsidR="009E28A0" w:rsidRPr="009E28A0" w:rsidRDefault="009E28A0" w:rsidP="009E28A0">
                        <w:pPr>
                          <w:numPr>
                            <w:ilvl w:val="0"/>
                            <w:numId w:val="32"/>
                          </w:numPr>
                          <w:ind w:left="236" w:hanging="283"/>
                          <w:contextualSpacing/>
                          <w:jc w:val="both"/>
                          <w:rPr>
                            <w:rFonts w:ascii="Arial" w:hAnsi="Arial" w:cs="Arial"/>
                            <w:i/>
                            <w:sz w:val="20"/>
                            <w:szCs w:val="20"/>
                            <w:lang w:val="es-CR"/>
                          </w:rPr>
                        </w:pPr>
                        <w:r w:rsidRPr="009E28A0">
                          <w:rPr>
                            <w:rFonts w:ascii="Arial" w:hAnsi="Arial" w:cs="Arial"/>
                            <w:i/>
                            <w:sz w:val="20"/>
                            <w:szCs w:val="20"/>
                            <w:lang w:val="es-CR"/>
                          </w:rPr>
                          <w:t>Incluir un apartado de definiciones y de siglas.</w:t>
                        </w:r>
                      </w:p>
                      <w:p w:rsidR="009E28A0" w:rsidRPr="009E28A0" w:rsidRDefault="009E28A0" w:rsidP="009E28A0">
                        <w:pPr>
                          <w:numPr>
                            <w:ilvl w:val="0"/>
                            <w:numId w:val="32"/>
                          </w:numPr>
                          <w:ind w:left="236" w:hanging="283"/>
                          <w:contextualSpacing/>
                          <w:jc w:val="both"/>
                          <w:rPr>
                            <w:rFonts w:ascii="Arial" w:hAnsi="Arial" w:cs="Arial"/>
                            <w:i/>
                            <w:sz w:val="20"/>
                            <w:szCs w:val="20"/>
                            <w:lang w:val="es-CR"/>
                          </w:rPr>
                        </w:pPr>
                        <w:r w:rsidRPr="009E28A0">
                          <w:rPr>
                            <w:rFonts w:ascii="Arial" w:hAnsi="Arial" w:cs="Arial"/>
                            <w:i/>
                            <w:sz w:val="20"/>
                            <w:szCs w:val="20"/>
                            <w:lang w:val="es-CR"/>
                          </w:rPr>
                          <w:t xml:space="preserve">Tomar en cuenta al Instituto Tecnológico de Costa Rica, para lo que considere pertinente el </w:t>
                        </w:r>
                        <w:proofErr w:type="spellStart"/>
                        <w:r w:rsidRPr="009E28A0">
                          <w:rPr>
                            <w:rFonts w:ascii="Arial" w:hAnsi="Arial" w:cs="Arial"/>
                            <w:i/>
                            <w:sz w:val="20"/>
                            <w:szCs w:val="20"/>
                            <w:lang w:val="es-CR"/>
                          </w:rPr>
                          <w:t>Conac</w:t>
                        </w:r>
                        <w:proofErr w:type="spellEnd"/>
                        <w:r w:rsidRPr="009E28A0">
                          <w:rPr>
                            <w:rFonts w:ascii="Arial" w:hAnsi="Arial" w:cs="Arial"/>
                            <w:i/>
                            <w:sz w:val="20"/>
                            <w:szCs w:val="20"/>
                            <w:lang w:val="es-CR"/>
                          </w:rPr>
                          <w:t>, CNM, ECA.</w:t>
                        </w:r>
                      </w:p>
                      <w:p w:rsidR="009E28A0" w:rsidRPr="009E28A0" w:rsidRDefault="009E28A0" w:rsidP="009E28A0">
                        <w:pPr>
                          <w:numPr>
                            <w:ilvl w:val="0"/>
                            <w:numId w:val="32"/>
                          </w:numPr>
                          <w:ind w:left="236" w:hanging="283"/>
                          <w:contextualSpacing/>
                          <w:jc w:val="both"/>
                          <w:rPr>
                            <w:rFonts w:ascii="Arial" w:hAnsi="Arial" w:cs="Arial"/>
                            <w:i/>
                            <w:sz w:val="20"/>
                            <w:szCs w:val="20"/>
                            <w:lang w:val="es-CR"/>
                          </w:rPr>
                        </w:pPr>
                        <w:r w:rsidRPr="009E28A0">
                          <w:rPr>
                            <w:rFonts w:ascii="Arial" w:hAnsi="Arial" w:cs="Arial"/>
                            <w:i/>
                            <w:sz w:val="20"/>
                            <w:szCs w:val="20"/>
                            <w:lang w:val="es-CR"/>
                          </w:rPr>
                          <w:t>Indicar mediante qué mecanismos, o forma adicional a las transferencias de instituciones públicas, se va a financiar el Sistema y la Secretaría.</w:t>
                        </w:r>
                      </w:p>
                      <w:p w:rsidR="009E28A0" w:rsidRPr="009E28A0" w:rsidRDefault="009E28A0" w:rsidP="009E28A0">
                        <w:pPr>
                          <w:numPr>
                            <w:ilvl w:val="0"/>
                            <w:numId w:val="32"/>
                          </w:numPr>
                          <w:ind w:left="236" w:hanging="283"/>
                          <w:contextualSpacing/>
                          <w:jc w:val="both"/>
                          <w:rPr>
                            <w:rFonts w:ascii="Arial" w:hAnsi="Arial" w:cs="Arial"/>
                            <w:i/>
                            <w:sz w:val="20"/>
                            <w:szCs w:val="20"/>
                            <w:lang w:val="es-CR"/>
                          </w:rPr>
                        </w:pPr>
                        <w:r w:rsidRPr="009E28A0">
                          <w:rPr>
                            <w:rFonts w:ascii="Arial" w:hAnsi="Arial" w:cs="Arial"/>
                            <w:i/>
                            <w:sz w:val="20"/>
                            <w:szCs w:val="20"/>
                            <w:lang w:val="es-CR"/>
                          </w:rPr>
                          <w:t>Indicar a qué órgano superior estará adscrito y rendirá cuentas el Consejo Nacional para la Calidad.</w:t>
                        </w:r>
                      </w:p>
                      <w:p w:rsidR="009E28A0" w:rsidRPr="009E28A0" w:rsidRDefault="009E28A0" w:rsidP="009E28A0">
                        <w:pPr>
                          <w:numPr>
                            <w:ilvl w:val="0"/>
                            <w:numId w:val="32"/>
                          </w:numPr>
                          <w:ind w:left="236" w:hanging="283"/>
                          <w:contextualSpacing/>
                          <w:jc w:val="both"/>
                          <w:rPr>
                            <w:rFonts w:ascii="Arial" w:hAnsi="Arial" w:cs="Arial"/>
                            <w:i/>
                            <w:sz w:val="20"/>
                            <w:szCs w:val="20"/>
                            <w:lang w:val="es-CR"/>
                          </w:rPr>
                        </w:pPr>
                        <w:r w:rsidRPr="009E28A0">
                          <w:rPr>
                            <w:rFonts w:ascii="Arial" w:hAnsi="Arial" w:cs="Arial"/>
                            <w:i/>
                            <w:sz w:val="20"/>
                            <w:szCs w:val="20"/>
                            <w:lang w:val="es-CR"/>
                          </w:rPr>
                          <w:t xml:space="preserve">Agregar en el Artículo 12, inciso e, “Garantizar que todas las instituciones públicas cumplan con las disposiciones de esta Ley, incluida la obligación de designar un gestor de calidad </w:t>
                        </w:r>
                        <w:r w:rsidRPr="009E28A0">
                          <w:rPr>
                            <w:rFonts w:ascii="Arial" w:hAnsi="Arial" w:cs="Arial"/>
                            <w:b/>
                            <w:i/>
                            <w:sz w:val="20"/>
                            <w:szCs w:val="20"/>
                            <w:lang w:val="es-CR"/>
                          </w:rPr>
                          <w:t>dentro del personal existente en la institución a cargo de dicha función</w:t>
                        </w:r>
                        <w:r w:rsidRPr="009E28A0">
                          <w:rPr>
                            <w:rFonts w:ascii="Arial" w:hAnsi="Arial" w:cs="Arial"/>
                            <w:i/>
                            <w:sz w:val="20"/>
                            <w:szCs w:val="20"/>
                            <w:lang w:val="es-CR"/>
                          </w:rPr>
                          <w:t>.” Lo señalado en negrita es lo que se sugiere agregar.</w:t>
                        </w:r>
                      </w:p>
                      <w:p w:rsidR="009E28A0" w:rsidRPr="009E28A0" w:rsidRDefault="009E28A0" w:rsidP="009E28A0">
                        <w:pPr>
                          <w:jc w:val="both"/>
                          <w:rPr>
                            <w:rFonts w:ascii="Arial" w:hAnsi="Arial" w:cs="Arial"/>
                            <w:b/>
                            <w:i/>
                            <w:sz w:val="20"/>
                            <w:szCs w:val="20"/>
                            <w:lang w:val="es-CR"/>
                          </w:rPr>
                        </w:pPr>
                      </w:p>
                      <w:p w:rsidR="009E28A0" w:rsidRPr="009E28A0" w:rsidRDefault="009E28A0" w:rsidP="009E28A0">
                        <w:pPr>
                          <w:jc w:val="both"/>
                          <w:rPr>
                            <w:rFonts w:ascii="Arial" w:hAnsi="Arial" w:cs="Arial"/>
                            <w:b/>
                            <w:i/>
                            <w:sz w:val="20"/>
                            <w:szCs w:val="20"/>
                            <w:lang w:val="es-CR"/>
                          </w:rPr>
                        </w:pPr>
                        <w:r w:rsidRPr="009E28A0">
                          <w:rPr>
                            <w:rFonts w:ascii="Arial" w:hAnsi="Arial" w:cs="Arial"/>
                            <w:b/>
                            <w:i/>
                            <w:sz w:val="20"/>
                            <w:szCs w:val="20"/>
                            <w:lang w:val="es-CR"/>
                          </w:rPr>
                          <w:t>POR LO TANTO:</w:t>
                        </w:r>
                      </w:p>
                      <w:p w:rsidR="005557C9" w:rsidRPr="009E28A0" w:rsidRDefault="009E28A0" w:rsidP="005557C9">
                        <w:pPr>
                          <w:jc w:val="both"/>
                          <w:rPr>
                            <w:rFonts w:ascii="Arial" w:hAnsi="Arial" w:cs="Arial"/>
                            <w:i/>
                            <w:sz w:val="20"/>
                            <w:szCs w:val="20"/>
                            <w:lang w:val="es-CR"/>
                          </w:rPr>
                        </w:pPr>
                        <w:r w:rsidRPr="009E28A0">
                          <w:rPr>
                            <w:rFonts w:ascii="Arial" w:hAnsi="Arial" w:cs="Arial"/>
                            <w:i/>
                            <w:sz w:val="20"/>
                            <w:szCs w:val="20"/>
                            <w:lang w:val="es-CR"/>
                          </w:rPr>
                          <w:t xml:space="preserve">Se recomienda apoyar el proyecto de la “Reforma Integral a la Ley del Sistema Nacional para la Calidad, Ley No. 8279, Expediente No. 21.160”, siempre y cuando el carácter vinculante no se contraponga o no genere </w:t>
                        </w:r>
                        <w:proofErr w:type="spellStart"/>
                        <w:r w:rsidRPr="009E28A0">
                          <w:rPr>
                            <w:rFonts w:ascii="Arial" w:hAnsi="Arial" w:cs="Arial"/>
                            <w:i/>
                            <w:sz w:val="20"/>
                            <w:szCs w:val="20"/>
                            <w:lang w:val="es-CR"/>
                          </w:rPr>
                          <w:t>antinomía</w:t>
                        </w:r>
                        <w:proofErr w:type="spellEnd"/>
                        <w:r w:rsidRPr="009E28A0">
                          <w:rPr>
                            <w:rFonts w:ascii="Arial" w:hAnsi="Arial" w:cs="Arial"/>
                            <w:i/>
                            <w:sz w:val="20"/>
                            <w:szCs w:val="20"/>
                            <w:lang w:val="es-CR"/>
                          </w:rPr>
                          <w:t xml:space="preserve"> con la Autonomía Universitaria en temas de gestión de la calidad y </w:t>
                        </w:r>
                        <w:r w:rsidRPr="009E28A0">
                          <w:rPr>
                            <w:rFonts w:ascii="Arial" w:hAnsi="Arial" w:cs="Arial"/>
                            <w:i/>
                            <w:sz w:val="20"/>
                            <w:szCs w:val="20"/>
                            <w:lang w:val="es-CR"/>
                          </w:rPr>
                          <w:lastRenderedPageBreak/>
                          <w:t>aseguramiento de la misma. Y reconozca a las instituciones de educación superior como el eslabón determinante en la formación de profesionales conocedores de la calidad, capaces de hacer cumplir con lo estipulado en esta ley.”</w:t>
                        </w:r>
                      </w:p>
                      <w:p w:rsidR="009E28A0" w:rsidRPr="009E28A0" w:rsidRDefault="009E28A0" w:rsidP="009E28A0">
                        <w:pPr>
                          <w:autoSpaceDE w:val="0"/>
                          <w:autoSpaceDN w:val="0"/>
                          <w:adjustRightInd w:val="0"/>
                          <w:ind w:left="-78" w:right="-91"/>
                          <w:jc w:val="both"/>
                          <w:rPr>
                            <w:rFonts w:ascii="Arial" w:hAnsi="Arial" w:cs="Arial"/>
                            <w:b/>
                            <w:color w:val="000000"/>
                            <w:sz w:val="20"/>
                            <w:szCs w:val="20"/>
                            <w:lang w:val="es-CR" w:eastAsia="es-CR"/>
                          </w:rPr>
                        </w:pPr>
                        <w:r w:rsidRPr="009E28A0">
                          <w:rPr>
                            <w:rFonts w:ascii="Arial" w:eastAsia="Cambria" w:hAnsi="Arial" w:cs="Arial"/>
                            <w:b/>
                            <w:sz w:val="20"/>
                            <w:szCs w:val="20"/>
                            <w:u w:val="single"/>
                            <w:lang w:val="es-CR" w:eastAsia="en-US"/>
                          </w:rPr>
                          <w:t>Centros de Investigación:</w:t>
                        </w:r>
                      </w:p>
                      <w:p w:rsidR="009E28A0" w:rsidRPr="009E28A0" w:rsidRDefault="009E28A0" w:rsidP="009E28A0">
                        <w:pPr>
                          <w:jc w:val="both"/>
                          <w:rPr>
                            <w:rFonts w:ascii="Arial" w:hAnsi="Arial" w:cs="Arial"/>
                            <w:i/>
                            <w:sz w:val="20"/>
                            <w:szCs w:val="20"/>
                            <w:lang w:val="es-CR"/>
                          </w:rPr>
                        </w:pPr>
                        <w:r w:rsidRPr="009E28A0">
                          <w:rPr>
                            <w:rFonts w:ascii="Arial" w:hAnsi="Arial" w:cs="Arial"/>
                            <w:i/>
                            <w:sz w:val="20"/>
                            <w:szCs w:val="20"/>
                            <w:lang w:val="es-CR"/>
                          </w:rPr>
                          <w:t>“Indicamos que estamos de acuerdo con la reforma, siempre y cuando se incluyan las observaciones planteadas por el Tecnológico de Costa Rica. En particular consideramos que el artículo 39 debe cambiarse y se debe tener presencia a nivel del TEC en los diferentes órganos, según indicamos en cada artículo.”</w:t>
                        </w:r>
                      </w:p>
                    </w:tc>
                  </w:tr>
                </w:tbl>
                <w:p w:rsidR="009E28A0" w:rsidRPr="009E28A0" w:rsidRDefault="009E28A0" w:rsidP="009E28A0">
                  <w:pPr>
                    <w:autoSpaceDE w:val="0"/>
                    <w:autoSpaceDN w:val="0"/>
                    <w:adjustRightInd w:val="0"/>
                    <w:ind w:left="-78" w:right="-91"/>
                    <w:rPr>
                      <w:rFonts w:ascii="Arial" w:eastAsiaTheme="minorHAnsi" w:hAnsi="Arial" w:cs="Arial"/>
                      <w:color w:val="000000"/>
                      <w:sz w:val="20"/>
                      <w:szCs w:val="20"/>
                      <w:lang w:val="es-CR" w:eastAsia="en-US"/>
                    </w:rPr>
                  </w:pPr>
                </w:p>
              </w:tc>
            </w:tr>
          </w:tbl>
          <w:p w:rsidR="009E28A0" w:rsidRPr="009E28A0" w:rsidRDefault="009E28A0" w:rsidP="009E28A0">
            <w:pPr>
              <w:autoSpaceDE w:val="0"/>
              <w:autoSpaceDN w:val="0"/>
              <w:adjustRightInd w:val="0"/>
              <w:ind w:right="-91"/>
              <w:rPr>
                <w:rFonts w:ascii="Arial" w:eastAsia="Cambria" w:hAnsi="Arial" w:cs="Arial"/>
                <w:b/>
                <w:sz w:val="22"/>
                <w:szCs w:val="22"/>
                <w:lang w:val="es-CR" w:eastAsia="en-US"/>
              </w:rPr>
            </w:pPr>
          </w:p>
        </w:tc>
      </w:tr>
    </w:tbl>
    <w:p w:rsidR="002E7062" w:rsidRDefault="002E7062" w:rsidP="007742A1">
      <w:pPr>
        <w:jc w:val="both"/>
        <w:rPr>
          <w:rFonts w:ascii="Arial" w:eastAsia="Cambria" w:hAnsi="Arial" w:cs="Arial"/>
          <w:lang w:val="es-ES_tradnl" w:eastAsia="en-US"/>
        </w:rPr>
      </w:pPr>
    </w:p>
    <w:p w:rsidR="00215C41" w:rsidRDefault="00BB6A5E" w:rsidP="005557C9">
      <w:pPr>
        <w:numPr>
          <w:ilvl w:val="0"/>
          <w:numId w:val="19"/>
        </w:numPr>
        <w:ind w:left="426" w:hanging="426"/>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9E28A0" w:rsidRDefault="009E28A0" w:rsidP="009E28A0">
      <w:pPr>
        <w:jc w:val="both"/>
        <w:rPr>
          <w:rFonts w:ascii="Arial" w:hAnsi="Arial" w:cs="Arial"/>
          <w:b/>
          <w:lang w:val="es-CR"/>
        </w:rPr>
      </w:pPr>
    </w:p>
    <w:p w:rsidR="009E28A0" w:rsidRDefault="009E28A0" w:rsidP="009E28A0">
      <w:pPr>
        <w:jc w:val="both"/>
        <w:rPr>
          <w:rFonts w:ascii="Arial" w:hAnsi="Arial" w:cs="Arial"/>
          <w:b/>
          <w:lang w:val="es-CR"/>
        </w:rPr>
      </w:pPr>
    </w:p>
    <w:p w:rsidR="009E28A0" w:rsidRPr="009E28A0" w:rsidRDefault="009E28A0" w:rsidP="009E28A0">
      <w:pPr>
        <w:autoSpaceDE w:val="0"/>
        <w:autoSpaceDN w:val="0"/>
        <w:adjustRightInd w:val="0"/>
        <w:ind w:right="-91"/>
        <w:jc w:val="both"/>
        <w:rPr>
          <w:rFonts w:ascii="Arial" w:hAnsi="Arial" w:cs="Arial"/>
          <w:b/>
          <w:sz w:val="22"/>
          <w:szCs w:val="22"/>
          <w:lang w:val="es-CR"/>
        </w:rPr>
      </w:pPr>
      <w:r w:rsidRPr="009E28A0">
        <w:rPr>
          <w:rFonts w:ascii="Arial" w:hAnsi="Arial" w:cs="Arial"/>
          <w:b/>
          <w:sz w:val="22"/>
          <w:szCs w:val="22"/>
          <w:lang w:val="es-CR"/>
        </w:rPr>
        <w:t xml:space="preserve">PALABRAS CLAVE:   </w:t>
      </w:r>
      <w:r w:rsidRPr="009E28A0">
        <w:rPr>
          <w:rFonts w:ascii="Arial" w:hAnsi="Arial" w:cs="Arial"/>
          <w:sz w:val="22"/>
          <w:szCs w:val="22"/>
          <w:lang w:val="es-CR"/>
        </w:rPr>
        <w:t xml:space="preserve">Proyectos – Ley- </w:t>
      </w:r>
      <w:proofErr w:type="spellStart"/>
      <w:r w:rsidRPr="009E28A0">
        <w:rPr>
          <w:rFonts w:ascii="Arial" w:hAnsi="Arial" w:cs="Arial"/>
          <w:sz w:val="22"/>
          <w:szCs w:val="22"/>
          <w:lang w:val="es-CR"/>
        </w:rPr>
        <w:t>Exps</w:t>
      </w:r>
      <w:proofErr w:type="spellEnd"/>
      <w:r w:rsidRPr="009E28A0">
        <w:rPr>
          <w:rFonts w:ascii="Arial" w:hAnsi="Arial" w:cs="Arial"/>
          <w:sz w:val="22"/>
          <w:szCs w:val="22"/>
          <w:lang w:val="es-CR"/>
        </w:rPr>
        <w:t>. – 19.531, 20.840, 20.985, 21.031 y 21.160</w:t>
      </w:r>
    </w:p>
    <w:p w:rsidR="009E28A0" w:rsidRDefault="009E28A0" w:rsidP="009E28A0">
      <w:pPr>
        <w:tabs>
          <w:tab w:val="left" w:pos="3070"/>
        </w:tabs>
        <w:contextualSpacing/>
        <w:jc w:val="both"/>
        <w:outlineLvl w:val="0"/>
        <w:rPr>
          <w:rFonts w:ascii="Arial" w:hAnsi="Arial" w:cs="Arial"/>
          <w:b/>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Pr="000F50B9" w:rsidRDefault="00337E83" w:rsidP="00CB0724">
      <w:pPr>
        <w:jc w:val="both"/>
        <w:rPr>
          <w:rFonts w:ascii="Arial" w:eastAsia="Cambria" w:hAnsi="Arial" w:cs="Arial"/>
          <w:b/>
          <w:sz w:val="18"/>
          <w:szCs w:val="18"/>
          <w:lang w:eastAsia="en-US"/>
        </w:rPr>
      </w:pP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FB" w:rsidRDefault="00FA44FB">
      <w:r>
        <w:separator/>
      </w:r>
    </w:p>
  </w:endnote>
  <w:endnote w:type="continuationSeparator" w:id="0">
    <w:p w:rsidR="00FA44FB" w:rsidRDefault="00FA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FB" w:rsidRDefault="00FA44FB">
      <w:r>
        <w:separator/>
      </w:r>
    </w:p>
  </w:footnote>
  <w:footnote w:type="continuationSeparator" w:id="0">
    <w:p w:rsidR="00FA44FB" w:rsidRDefault="00FA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6D0CAC">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E818A8">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D0CAC">
      <w:rPr>
        <w:rFonts w:ascii="Arial" w:eastAsia="Cambria" w:hAnsi="Arial" w:cs="Arial"/>
        <w:i/>
        <w:sz w:val="18"/>
        <w:szCs w:val="18"/>
        <w:lang w:val="es-ES_tradnl" w:eastAsia="x-none"/>
      </w:rPr>
      <w:t>24</w:t>
    </w:r>
    <w:r>
      <w:rPr>
        <w:rFonts w:ascii="Arial" w:eastAsia="Cambria" w:hAnsi="Arial" w:cs="Arial"/>
        <w:i/>
        <w:sz w:val="18"/>
        <w:szCs w:val="18"/>
        <w:lang w:val="es-ES_tradnl" w:eastAsia="x-none"/>
      </w:rPr>
      <w:t xml:space="preserve"> de </w:t>
    </w:r>
    <w:r w:rsidR="00E818A8">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067AE">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98258D"/>
    <w:multiLevelType w:val="hybridMultilevel"/>
    <w:tmpl w:val="206C2AAA"/>
    <w:lvl w:ilvl="0" w:tplc="DC727E2E">
      <w:start w:val="1"/>
      <w:numFmt w:val="decimal"/>
      <w:lvlText w:val="%1."/>
      <w:lvlJc w:val="left"/>
      <w:pPr>
        <w:ind w:left="720" w:hanging="360"/>
      </w:pPr>
      <w:rPr>
        <w:b/>
      </w:rPr>
    </w:lvl>
    <w:lvl w:ilvl="1" w:tplc="225210E6">
      <w:start w:val="1"/>
      <w:numFmt w:val="decimal"/>
      <w:lvlText w:val="%2."/>
      <w:lvlJc w:val="left"/>
      <w:pPr>
        <w:ind w:left="1440" w:hanging="360"/>
      </w:pPr>
      <w:rPr>
        <w:b/>
        <w:i w:val="0"/>
        <w:sz w:val="22"/>
        <w:szCs w:val="22"/>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6"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422250AA"/>
    <w:multiLevelType w:val="hybridMultilevel"/>
    <w:tmpl w:val="969EDA0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0"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1949F0"/>
    <w:multiLevelType w:val="hybridMultilevel"/>
    <w:tmpl w:val="7D5EE5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0D5C4C"/>
    <w:multiLevelType w:val="hybridMultilevel"/>
    <w:tmpl w:val="F760D500"/>
    <w:lvl w:ilvl="0" w:tplc="096232B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D75DAD"/>
    <w:multiLevelType w:val="hybridMultilevel"/>
    <w:tmpl w:val="C392701C"/>
    <w:lvl w:ilvl="0" w:tplc="2ED40224">
      <w:start w:val="1"/>
      <w:numFmt w:val="lowerLetter"/>
      <w:lvlText w:val="%1."/>
      <w:lvlJc w:val="left"/>
      <w:pPr>
        <w:ind w:left="720" w:hanging="360"/>
      </w:pPr>
      <w:rPr>
        <w:b/>
      </w:rPr>
    </w:lvl>
    <w:lvl w:ilvl="1" w:tplc="140A0013">
      <w:start w:val="1"/>
      <w:numFmt w:val="upp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DA320A"/>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18"/>
  </w:num>
  <w:num w:numId="8">
    <w:abstractNumId w:val="20"/>
  </w:num>
  <w:num w:numId="9">
    <w:abstractNumId w:val="11"/>
  </w:num>
  <w:num w:numId="10">
    <w:abstractNumId w:val="13"/>
  </w:num>
  <w:num w:numId="11">
    <w:abstractNumId w:val="28"/>
  </w:num>
  <w:num w:numId="12">
    <w:abstractNumId w:val="10"/>
  </w:num>
  <w:num w:numId="13">
    <w:abstractNumId w:val="3"/>
  </w:num>
  <w:num w:numId="14">
    <w:abstractNumId w:val="15"/>
  </w:num>
  <w:num w:numId="15">
    <w:abstractNumId w:val="17"/>
  </w:num>
  <w:num w:numId="16">
    <w:abstractNumId w:val="4"/>
  </w:num>
  <w:num w:numId="17">
    <w:abstractNumId w:val="23"/>
  </w:num>
  <w:num w:numId="18">
    <w:abstractNumId w:val="16"/>
  </w:num>
  <w:num w:numId="19">
    <w:abstractNumId w:val="12"/>
  </w:num>
  <w:num w:numId="20">
    <w:abstractNumId w:val="24"/>
  </w:num>
  <w:num w:numId="21">
    <w:abstractNumId w:val="30"/>
  </w:num>
  <w:num w:numId="22">
    <w:abstractNumId w:val="25"/>
  </w:num>
  <w:num w:numId="23">
    <w:abstractNumId w:val="14"/>
  </w:num>
  <w:num w:numId="24">
    <w:abstractNumId w:val="29"/>
  </w:num>
  <w:num w:numId="25">
    <w:abstractNumId w:val="26"/>
  </w:num>
  <w:num w:numId="26">
    <w:abstractNumId w:val="31"/>
  </w:num>
  <w:num w:numId="27">
    <w:abstractNumId w:val="27"/>
  </w:num>
  <w:num w:numId="28">
    <w:abstractNumId w:val="5"/>
  </w:num>
  <w:num w:numId="29">
    <w:abstractNumId w:val="19"/>
  </w:num>
  <w:num w:numId="30">
    <w:abstractNumId w:val="7"/>
  </w:num>
  <w:num w:numId="31">
    <w:abstractNumId w:val="22"/>
  </w:num>
  <w:num w:numId="3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4FB"/>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8A3D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72FE-8371-497F-BA6B-8602BFA7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9</Pages>
  <Words>2393</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123</cp:revision>
  <cp:lastPrinted>2019-03-27T19:34:00Z</cp:lastPrinted>
  <dcterms:created xsi:type="dcterms:W3CDTF">2018-05-02T21:37:00Z</dcterms:created>
  <dcterms:modified xsi:type="dcterms:W3CDTF">2019-04-25T14:09:00Z</dcterms:modified>
</cp:coreProperties>
</file>