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8F4624">
        <w:rPr>
          <w:rFonts w:ascii="Arial" w:hAnsi="Arial" w:cs="Arial"/>
          <w:b/>
          <w:bCs/>
          <w:iCs/>
          <w:sz w:val="26"/>
          <w:szCs w:val="22"/>
          <w:lang w:val="es-CR"/>
        </w:rPr>
        <w:t>249</w:t>
      </w:r>
      <w:r w:rsidRPr="00D958BC">
        <w:rPr>
          <w:rFonts w:ascii="Arial" w:hAnsi="Arial" w:cs="Arial"/>
          <w:b/>
          <w:bCs/>
          <w:iCs/>
          <w:sz w:val="26"/>
          <w:szCs w:val="22"/>
          <w:lang w:val="es-CR"/>
        </w:rPr>
        <w:t>-201</w:t>
      </w:r>
      <w:r w:rsidR="000857E5">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348" w:type="dxa"/>
        <w:tblInd w:w="108" w:type="dxa"/>
        <w:tblLayout w:type="fixed"/>
        <w:tblLook w:val="01E0" w:firstRow="1" w:lastRow="1" w:firstColumn="1" w:lastColumn="1" w:noHBand="0" w:noVBand="0"/>
      </w:tblPr>
      <w:tblGrid>
        <w:gridCol w:w="1374"/>
        <w:gridCol w:w="7974"/>
      </w:tblGrid>
      <w:tr w:rsidR="007742A1" w:rsidRPr="00C413F4" w:rsidTr="00C76420">
        <w:trPr>
          <w:trHeight w:val="588"/>
        </w:trPr>
        <w:tc>
          <w:tcPr>
            <w:tcW w:w="137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974" w:type="dxa"/>
          </w:tcPr>
          <w:p w:rsidR="000C7F00" w:rsidRDefault="007A1C46"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p>
          <w:p w:rsidR="008F4624" w:rsidRPr="008F4624" w:rsidRDefault="008F4624" w:rsidP="008F4624">
            <w:pPr>
              <w:ind w:left="45"/>
              <w:jc w:val="both"/>
              <w:rPr>
                <w:rFonts w:ascii="Arial" w:eastAsia="Cambria" w:hAnsi="Arial" w:cs="Arial"/>
                <w:sz w:val="22"/>
                <w:szCs w:val="22"/>
                <w:lang w:val="es-CR" w:eastAsia="en-US"/>
              </w:rPr>
            </w:pPr>
            <w:r w:rsidRPr="008F4624">
              <w:rPr>
                <w:rFonts w:ascii="Arial" w:eastAsia="Cambria" w:hAnsi="Arial" w:cs="Arial"/>
                <w:sz w:val="22"/>
                <w:szCs w:val="22"/>
                <w:lang w:val="es-CR" w:eastAsia="en-US"/>
              </w:rPr>
              <w:t>Sr.</w:t>
            </w:r>
            <w:r w:rsidRPr="008F4624">
              <w:rPr>
                <w:rFonts w:ascii="Arial" w:eastAsia="Cambria" w:hAnsi="Arial" w:cs="Arial"/>
                <w:sz w:val="22"/>
                <w:szCs w:val="22"/>
                <w:lang w:val="es-CR" w:eastAsia="en-US"/>
              </w:rPr>
              <w:t xml:space="preserve"> Carlos Mario Boschini Castillo</w:t>
            </w:r>
            <w:r w:rsidRPr="008F4624">
              <w:rPr>
                <w:rFonts w:ascii="Arial" w:eastAsia="Cambria" w:hAnsi="Arial" w:cs="Arial"/>
                <w:sz w:val="22"/>
                <w:szCs w:val="22"/>
                <w:lang w:val="es-CR" w:eastAsia="en-US"/>
              </w:rPr>
              <w:t>, Presidente FEITEC</w:t>
            </w:r>
          </w:p>
          <w:p w:rsidR="008F4624" w:rsidRPr="000C77E7" w:rsidRDefault="008F4624" w:rsidP="008F4624">
            <w:pPr>
              <w:ind w:left="45"/>
              <w:jc w:val="both"/>
              <w:rPr>
                <w:rFonts w:ascii="Arial" w:eastAsia="Cambria" w:hAnsi="Arial" w:cs="Arial"/>
                <w:sz w:val="22"/>
                <w:szCs w:val="22"/>
                <w:lang w:val="es-ES_tradnl" w:eastAsia="en-US"/>
              </w:rPr>
            </w:pPr>
            <w:r w:rsidRPr="000C77E7">
              <w:rPr>
                <w:rFonts w:ascii="Arial" w:eastAsia="Cambria" w:hAnsi="Arial" w:cs="Arial"/>
                <w:sz w:val="22"/>
                <w:szCs w:val="22"/>
                <w:lang w:val="es-ES_tradnl" w:eastAsia="en-US"/>
              </w:rPr>
              <w:t>Dra. Claudia Madrizova</w:t>
            </w: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Madrizova</w:t>
            </w:r>
            <w:proofErr w:type="spellEnd"/>
            <w:r w:rsidRPr="000C77E7">
              <w:rPr>
                <w:rFonts w:ascii="Arial" w:eastAsia="Cambria" w:hAnsi="Arial" w:cs="Arial"/>
                <w:sz w:val="22"/>
                <w:szCs w:val="22"/>
                <w:lang w:val="es-ES_tradnl" w:eastAsia="en-US"/>
              </w:rPr>
              <w:t>, Vicerrectora de Vida Estudiantil y Servicios Académicos</w:t>
            </w:r>
          </w:p>
          <w:p w:rsidR="008F4624" w:rsidRPr="000C77E7" w:rsidRDefault="008F4624" w:rsidP="008F462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Pr="000C77E7">
              <w:rPr>
                <w:rFonts w:ascii="Arial" w:eastAsia="Cambria" w:hAnsi="Arial" w:cs="Arial"/>
                <w:sz w:val="22"/>
                <w:szCs w:val="22"/>
                <w:lang w:val="es-ES_tradnl" w:eastAsia="en-US"/>
              </w:rPr>
              <w:t>. Humberto Villalta</w:t>
            </w:r>
            <w:r>
              <w:rPr>
                <w:rFonts w:ascii="Arial" w:eastAsia="Cambria" w:hAnsi="Arial" w:cs="Arial"/>
                <w:sz w:val="22"/>
                <w:szCs w:val="22"/>
                <w:lang w:val="es-ES_tradnl" w:eastAsia="en-US"/>
              </w:rPr>
              <w:t xml:space="preserve"> Solano</w:t>
            </w:r>
            <w:r w:rsidRPr="000C77E7">
              <w:rPr>
                <w:rFonts w:ascii="Arial" w:eastAsia="Cambria" w:hAnsi="Arial" w:cs="Arial"/>
                <w:sz w:val="22"/>
                <w:szCs w:val="22"/>
                <w:lang w:val="es-ES_tradnl" w:eastAsia="en-US"/>
              </w:rPr>
              <w:t>, Vicerrector</w:t>
            </w:r>
            <w:r>
              <w:rPr>
                <w:rFonts w:ascii="Arial" w:eastAsia="Cambria" w:hAnsi="Arial" w:cs="Arial"/>
                <w:sz w:val="22"/>
                <w:szCs w:val="22"/>
                <w:lang w:val="es-ES_tradnl" w:eastAsia="en-US"/>
              </w:rPr>
              <w:t xml:space="preserve"> de</w:t>
            </w:r>
            <w:r w:rsidRPr="000C77E7">
              <w:rPr>
                <w:rFonts w:ascii="Arial" w:eastAsia="Cambria" w:hAnsi="Arial" w:cs="Arial"/>
                <w:sz w:val="22"/>
                <w:szCs w:val="22"/>
                <w:lang w:val="es-ES_tradnl" w:eastAsia="en-US"/>
              </w:rPr>
              <w:t xml:space="preserve"> Administración</w:t>
            </w:r>
          </w:p>
          <w:p w:rsidR="008F4624" w:rsidRPr="000C77E7" w:rsidRDefault="008F4624" w:rsidP="008F4624">
            <w:pPr>
              <w:ind w:left="45"/>
              <w:jc w:val="both"/>
              <w:rPr>
                <w:rFonts w:ascii="Arial" w:eastAsia="Cambria" w:hAnsi="Arial" w:cs="Arial"/>
                <w:sz w:val="22"/>
                <w:szCs w:val="22"/>
                <w:lang w:val="es-ES_tradnl" w:eastAsia="en-US"/>
              </w:rPr>
            </w:pPr>
            <w:r w:rsidRPr="000C77E7">
              <w:rPr>
                <w:rFonts w:ascii="Arial" w:eastAsia="Cambria" w:hAnsi="Arial" w:cs="Arial"/>
                <w:sz w:val="22"/>
                <w:szCs w:val="22"/>
                <w:lang w:val="es-ES_tradnl" w:eastAsia="en-US"/>
              </w:rPr>
              <w:t>Lic</w:t>
            </w:r>
            <w:r>
              <w:rPr>
                <w:rFonts w:ascii="Arial" w:eastAsia="Cambria" w:hAnsi="Arial" w:cs="Arial"/>
                <w:sz w:val="22"/>
                <w:szCs w:val="22"/>
                <w:lang w:val="es-ES_tradnl" w:eastAsia="en-US"/>
              </w:rPr>
              <w:t>da</w:t>
            </w:r>
            <w:r w:rsidRPr="000C77E7">
              <w:rPr>
                <w:rFonts w:ascii="Arial" w:eastAsia="Cambria" w:hAnsi="Arial" w:cs="Arial"/>
                <w:sz w:val="22"/>
                <w:szCs w:val="22"/>
                <w:lang w:val="es-ES_tradnl" w:eastAsia="en-US"/>
              </w:rPr>
              <w:t>.</w:t>
            </w:r>
            <w:r>
              <w:rPr>
                <w:rFonts w:ascii="Arial" w:eastAsia="Cambria" w:hAnsi="Arial" w:cs="Arial"/>
                <w:sz w:val="22"/>
                <w:szCs w:val="22"/>
                <w:lang w:val="es-ES_tradnl" w:eastAsia="en-US"/>
              </w:rPr>
              <w:t xml:space="preserve"> Silvia Watson Araya</w:t>
            </w:r>
            <w:r w:rsidRPr="000C77E7">
              <w:rPr>
                <w:rFonts w:ascii="Arial" w:eastAsia="Cambria" w:hAnsi="Arial" w:cs="Arial"/>
                <w:sz w:val="22"/>
                <w:szCs w:val="22"/>
                <w:lang w:val="es-ES_tradnl" w:eastAsia="en-US"/>
              </w:rPr>
              <w:t>, Director</w:t>
            </w:r>
            <w:r>
              <w:rPr>
                <w:rFonts w:ascii="Arial" w:eastAsia="Cambria" w:hAnsi="Arial" w:cs="Arial"/>
                <w:sz w:val="22"/>
                <w:szCs w:val="22"/>
                <w:lang w:val="es-ES_tradnl" w:eastAsia="en-US"/>
              </w:rPr>
              <w:t>a</w:t>
            </w:r>
            <w:r w:rsidRPr="000C77E7">
              <w:rPr>
                <w:rFonts w:ascii="Arial" w:eastAsia="Cambria" w:hAnsi="Arial" w:cs="Arial"/>
                <w:sz w:val="22"/>
                <w:szCs w:val="22"/>
                <w:lang w:val="es-ES_tradnl" w:eastAsia="en-US"/>
              </w:rPr>
              <w:t xml:space="preserve"> Departamento Financiero Contable</w:t>
            </w:r>
          </w:p>
          <w:p w:rsidR="008F4624" w:rsidRPr="000C77E7" w:rsidRDefault="008F4624" w:rsidP="008F4624">
            <w:pPr>
              <w:ind w:left="45"/>
              <w:jc w:val="both"/>
              <w:rPr>
                <w:rFonts w:ascii="Arial" w:eastAsia="Cambria" w:hAnsi="Arial" w:cs="Arial"/>
                <w:lang w:val="es-ES_tradnl" w:eastAsia="en-US"/>
              </w:rPr>
            </w:pPr>
            <w:r w:rsidRPr="000C77E7">
              <w:rPr>
                <w:rFonts w:ascii="Arial" w:eastAsia="Cambria" w:hAnsi="Arial" w:cs="Arial"/>
                <w:lang w:val="es-ES_tradnl" w:eastAsia="en-US"/>
              </w:rPr>
              <w:t>MAU. Tatiana Fernández</w:t>
            </w:r>
            <w:r>
              <w:rPr>
                <w:rFonts w:ascii="Arial" w:eastAsia="Cambria" w:hAnsi="Arial" w:cs="Arial"/>
                <w:lang w:val="es-ES_tradnl" w:eastAsia="en-US"/>
              </w:rPr>
              <w:t xml:space="preserve"> Martín</w:t>
            </w:r>
            <w:r w:rsidRPr="000C77E7">
              <w:rPr>
                <w:rFonts w:ascii="Arial" w:eastAsia="Cambria" w:hAnsi="Arial" w:cs="Arial"/>
                <w:lang w:val="es-ES_tradnl" w:eastAsia="en-US"/>
              </w:rPr>
              <w:t>, Directora, Oficina Planificación Institucional</w:t>
            </w:r>
          </w:p>
          <w:p w:rsidR="008F4624" w:rsidRPr="000C77E7" w:rsidRDefault="008F4624" w:rsidP="008F4624">
            <w:pPr>
              <w:ind w:left="45"/>
              <w:jc w:val="both"/>
              <w:rPr>
                <w:rFonts w:ascii="Arial" w:eastAsia="Cambria" w:hAnsi="Arial" w:cs="Arial"/>
                <w:sz w:val="22"/>
                <w:szCs w:val="22"/>
                <w:lang w:val="es-ES_tradnl" w:eastAsia="en-US"/>
              </w:rPr>
            </w:pPr>
            <w:r>
              <w:rPr>
                <w:rFonts w:ascii="Arial" w:eastAsia="Cambria" w:hAnsi="Arial" w:cs="Arial"/>
                <w:lang w:val="es-ES_tradnl" w:eastAsia="en-US"/>
              </w:rPr>
              <w:t>Lic. Isidro Álvarez Salazar</w:t>
            </w:r>
            <w:r w:rsidRPr="000C77E7">
              <w:rPr>
                <w:rFonts w:ascii="Arial" w:eastAsia="Cambria" w:hAnsi="Arial" w:cs="Arial"/>
                <w:lang w:val="es-ES_tradnl" w:eastAsia="en-US"/>
              </w:rPr>
              <w:t>, Auditor Intern</w:t>
            </w:r>
            <w:r>
              <w:rPr>
                <w:rFonts w:ascii="Arial" w:eastAsia="Cambria" w:hAnsi="Arial" w:cs="Arial"/>
                <w:lang w:val="es-ES_tradnl" w:eastAsia="en-US"/>
              </w:rPr>
              <w:t>o</w:t>
            </w:r>
          </w:p>
          <w:p w:rsidR="004767B5" w:rsidRDefault="004767B5" w:rsidP="00456ABA">
            <w:pPr>
              <w:jc w:val="both"/>
              <w:rPr>
                <w:rFonts w:ascii="Arial" w:eastAsia="Cambria" w:hAnsi="Arial" w:cs="Arial"/>
                <w:sz w:val="22"/>
                <w:szCs w:val="22"/>
                <w:lang w:val="es-ES_tradnl" w:eastAsia="en-US"/>
              </w:rPr>
            </w:pPr>
          </w:p>
          <w:p w:rsidR="00BE62EA" w:rsidRPr="00F548D2" w:rsidRDefault="00BE62EA" w:rsidP="008F6C51">
            <w:pPr>
              <w:ind w:left="45"/>
              <w:jc w:val="both"/>
              <w:rPr>
                <w:rFonts w:ascii="Arial" w:eastAsia="Cambria" w:hAnsi="Arial" w:cs="Arial"/>
                <w:sz w:val="22"/>
                <w:szCs w:val="22"/>
                <w:lang w:val="es-ES_tradnl" w:eastAsia="en-US"/>
              </w:rPr>
            </w:pPr>
          </w:p>
        </w:tc>
        <w:bookmarkStart w:id="0" w:name="_GoBack"/>
        <w:bookmarkEnd w:id="0"/>
      </w:tr>
      <w:tr w:rsidR="007742A1" w:rsidRPr="00D958BC" w:rsidTr="00C76420">
        <w:trPr>
          <w:trHeight w:val="578"/>
        </w:trPr>
        <w:tc>
          <w:tcPr>
            <w:tcW w:w="137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974" w:type="dxa"/>
          </w:tcPr>
          <w:p w:rsidR="008D7E9D" w:rsidRPr="008E0D8C" w:rsidRDefault="0031009D"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8D7E9D" w:rsidRPr="008E0D8C">
              <w:rPr>
                <w:rFonts w:ascii="Arial" w:eastAsia="Cambria" w:hAnsi="Arial" w:cs="Arial"/>
                <w:sz w:val="22"/>
                <w:szCs w:val="22"/>
                <w:lang w:val="es-ES_tradnl" w:eastAsia="en-US"/>
              </w:rPr>
              <w:t xml:space="preserve">, </w:t>
            </w:r>
            <w:r w:rsidR="00CF4A51">
              <w:rPr>
                <w:rFonts w:ascii="Arial" w:eastAsia="Cambria" w:hAnsi="Arial" w:cs="Arial"/>
                <w:sz w:val="22"/>
                <w:szCs w:val="22"/>
                <w:lang w:val="es-ES_tradnl" w:eastAsia="en-US"/>
              </w:rPr>
              <w:t>Presidente</w:t>
            </w:r>
            <w:r>
              <w:rPr>
                <w:rFonts w:ascii="Arial" w:eastAsia="Cambria" w:hAnsi="Arial" w:cs="Arial"/>
                <w:sz w:val="22"/>
                <w:szCs w:val="22"/>
                <w:lang w:val="es-ES_tradnl" w:eastAsia="en-US"/>
              </w:rPr>
              <w:t xml:space="preserve"> </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C76420">
        <w:trPr>
          <w:trHeight w:val="251"/>
        </w:trPr>
        <w:tc>
          <w:tcPr>
            <w:tcW w:w="137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974"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9062B0"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03</w:t>
            </w:r>
            <w:r w:rsidR="000857E5">
              <w:rPr>
                <w:rFonts w:ascii="Arial" w:eastAsia="Cambria" w:hAnsi="Arial" w:cs="Arial"/>
                <w:b/>
                <w:sz w:val="22"/>
                <w:szCs w:val="22"/>
                <w:lang w:val="es-ES_tradnl" w:eastAsia="en-US"/>
              </w:rPr>
              <w:t xml:space="preserve"> de </w:t>
            </w:r>
            <w:r>
              <w:rPr>
                <w:rFonts w:ascii="Arial" w:eastAsia="Cambria" w:hAnsi="Arial" w:cs="Arial"/>
                <w:b/>
                <w:sz w:val="22"/>
                <w:szCs w:val="22"/>
                <w:lang w:val="es-ES_tradnl" w:eastAsia="en-US"/>
              </w:rPr>
              <w:t>abril</w:t>
            </w:r>
            <w:r w:rsidR="000857E5">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C76420">
        <w:trPr>
          <w:trHeight w:val="251"/>
        </w:trPr>
        <w:tc>
          <w:tcPr>
            <w:tcW w:w="137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974" w:type="dxa"/>
          </w:tcPr>
          <w:p w:rsidR="00821E37" w:rsidRPr="009062B0" w:rsidRDefault="00FF209C" w:rsidP="009062B0">
            <w:pPr>
              <w:autoSpaceDE w:val="0"/>
              <w:autoSpaceDN w:val="0"/>
              <w:adjustRightInd w:val="0"/>
              <w:ind w:right="-91"/>
              <w:jc w:val="both"/>
              <w:rPr>
                <w:rFonts w:ascii="Arial" w:hAnsi="Arial" w:cs="Arial"/>
                <w:b/>
                <w:lang w:val="es-CR"/>
              </w:rPr>
            </w:pPr>
            <w:r w:rsidRPr="009062B0">
              <w:rPr>
                <w:rFonts w:ascii="Arial" w:eastAsia="Calibri" w:hAnsi="Arial" w:cs="Arial"/>
                <w:b/>
                <w:sz w:val="22"/>
                <w:szCs w:val="22"/>
              </w:rPr>
              <w:t>S</w:t>
            </w:r>
            <w:r w:rsidR="007742A1" w:rsidRPr="009062B0">
              <w:rPr>
                <w:rFonts w:ascii="Arial" w:eastAsia="Calibri" w:hAnsi="Arial" w:cs="Arial"/>
                <w:b/>
                <w:sz w:val="22"/>
                <w:szCs w:val="22"/>
              </w:rPr>
              <w:t xml:space="preserve">esión Ordinaria No. </w:t>
            </w:r>
            <w:r w:rsidR="00337455" w:rsidRPr="009062B0">
              <w:rPr>
                <w:rFonts w:ascii="Arial" w:eastAsia="Calibri" w:hAnsi="Arial" w:cs="Arial"/>
                <w:b/>
                <w:sz w:val="22"/>
                <w:szCs w:val="22"/>
              </w:rPr>
              <w:t>3</w:t>
            </w:r>
            <w:r w:rsidR="003F3400" w:rsidRPr="009062B0">
              <w:rPr>
                <w:rFonts w:ascii="Arial" w:eastAsia="Calibri" w:hAnsi="Arial" w:cs="Arial"/>
                <w:b/>
                <w:sz w:val="22"/>
                <w:szCs w:val="22"/>
              </w:rPr>
              <w:t>1</w:t>
            </w:r>
            <w:r w:rsidR="008F6C51" w:rsidRPr="009062B0">
              <w:rPr>
                <w:rFonts w:ascii="Arial" w:eastAsia="Calibri" w:hAnsi="Arial" w:cs="Arial"/>
                <w:b/>
                <w:sz w:val="22"/>
                <w:szCs w:val="22"/>
              </w:rPr>
              <w:t>1</w:t>
            </w:r>
            <w:r w:rsidR="009062B0" w:rsidRPr="009062B0">
              <w:rPr>
                <w:rFonts w:ascii="Arial" w:eastAsia="Calibri" w:hAnsi="Arial" w:cs="Arial"/>
                <w:b/>
                <w:sz w:val="22"/>
                <w:szCs w:val="22"/>
              </w:rPr>
              <w:t>3</w:t>
            </w:r>
            <w:r w:rsidR="007742A1" w:rsidRPr="009062B0">
              <w:rPr>
                <w:rFonts w:ascii="Arial" w:eastAsia="Calibri" w:hAnsi="Arial" w:cs="Arial"/>
                <w:b/>
                <w:sz w:val="22"/>
                <w:szCs w:val="22"/>
              </w:rPr>
              <w:t>, Artículo</w:t>
            </w:r>
            <w:r w:rsidR="00A5669A" w:rsidRPr="009062B0">
              <w:rPr>
                <w:rFonts w:ascii="Arial" w:eastAsia="Calibri" w:hAnsi="Arial" w:cs="Arial"/>
                <w:b/>
                <w:sz w:val="22"/>
                <w:szCs w:val="22"/>
              </w:rPr>
              <w:t xml:space="preserve"> </w:t>
            </w:r>
            <w:r w:rsidR="009062B0" w:rsidRPr="009062B0">
              <w:rPr>
                <w:rFonts w:ascii="Arial" w:eastAsia="Calibri" w:hAnsi="Arial" w:cs="Arial"/>
                <w:b/>
                <w:sz w:val="22"/>
                <w:szCs w:val="22"/>
              </w:rPr>
              <w:t>8</w:t>
            </w:r>
            <w:r w:rsidR="00FF3C43" w:rsidRPr="009062B0">
              <w:rPr>
                <w:rFonts w:ascii="Arial" w:eastAsia="Calibri" w:hAnsi="Arial" w:cs="Arial"/>
                <w:b/>
                <w:sz w:val="22"/>
                <w:szCs w:val="22"/>
              </w:rPr>
              <w:t>,</w:t>
            </w:r>
            <w:r w:rsidR="007742A1" w:rsidRPr="009062B0">
              <w:rPr>
                <w:rFonts w:ascii="Arial" w:eastAsia="Calibri" w:hAnsi="Arial" w:cs="Arial"/>
                <w:b/>
                <w:sz w:val="22"/>
                <w:szCs w:val="22"/>
              </w:rPr>
              <w:t xml:space="preserve"> del </w:t>
            </w:r>
            <w:r w:rsidR="009062B0" w:rsidRPr="009062B0">
              <w:rPr>
                <w:rFonts w:ascii="Arial" w:eastAsia="Calibri" w:hAnsi="Arial" w:cs="Arial"/>
                <w:b/>
                <w:sz w:val="22"/>
                <w:szCs w:val="22"/>
              </w:rPr>
              <w:t>03</w:t>
            </w:r>
            <w:r w:rsidR="000857E5" w:rsidRPr="009062B0">
              <w:rPr>
                <w:rFonts w:ascii="Arial" w:eastAsia="Calibri" w:hAnsi="Arial" w:cs="Arial"/>
                <w:b/>
                <w:sz w:val="22"/>
                <w:szCs w:val="22"/>
              </w:rPr>
              <w:t xml:space="preserve"> de </w:t>
            </w:r>
            <w:r w:rsidR="009062B0" w:rsidRPr="009062B0">
              <w:rPr>
                <w:rFonts w:ascii="Arial" w:eastAsia="Calibri" w:hAnsi="Arial" w:cs="Arial"/>
                <w:b/>
                <w:sz w:val="22"/>
                <w:szCs w:val="22"/>
              </w:rPr>
              <w:t xml:space="preserve">abril </w:t>
            </w:r>
            <w:r w:rsidR="00A772EF" w:rsidRPr="009062B0">
              <w:rPr>
                <w:rFonts w:ascii="Arial" w:eastAsia="Calibri" w:hAnsi="Arial" w:cs="Arial"/>
                <w:b/>
                <w:sz w:val="22"/>
                <w:szCs w:val="22"/>
              </w:rPr>
              <w:t>de 201</w:t>
            </w:r>
            <w:r w:rsidR="00AA61D4" w:rsidRPr="009062B0">
              <w:rPr>
                <w:rFonts w:ascii="Arial" w:eastAsia="Calibri" w:hAnsi="Arial" w:cs="Arial"/>
                <w:b/>
                <w:sz w:val="22"/>
                <w:szCs w:val="22"/>
              </w:rPr>
              <w:t>9</w:t>
            </w:r>
            <w:r w:rsidR="00925985" w:rsidRPr="009062B0">
              <w:rPr>
                <w:rFonts w:ascii="Arial" w:eastAsia="Calibri" w:hAnsi="Arial" w:cs="Arial"/>
                <w:b/>
                <w:sz w:val="22"/>
                <w:szCs w:val="22"/>
              </w:rPr>
              <w:t>.</w:t>
            </w:r>
            <w:r w:rsidR="008D4991" w:rsidRPr="009062B0">
              <w:rPr>
                <w:rFonts w:ascii="Arial" w:eastAsia="Calibri" w:hAnsi="Arial" w:cs="Arial"/>
                <w:b/>
                <w:sz w:val="22"/>
                <w:szCs w:val="22"/>
              </w:rPr>
              <w:t xml:space="preserve"> </w:t>
            </w:r>
            <w:r w:rsidR="004767B5" w:rsidRPr="009062B0">
              <w:rPr>
                <w:rFonts w:ascii="Arial" w:eastAsia="Calibri" w:hAnsi="Arial" w:cs="Arial"/>
                <w:b/>
                <w:sz w:val="22"/>
                <w:szCs w:val="22"/>
              </w:rPr>
              <w:t xml:space="preserve"> </w:t>
            </w:r>
            <w:r w:rsidR="009062B0" w:rsidRPr="009062B0">
              <w:rPr>
                <w:rFonts w:ascii="Arial" w:hAnsi="Arial" w:cs="Arial"/>
                <w:b/>
                <w:bCs/>
                <w:color w:val="000000"/>
                <w:sz w:val="22"/>
                <w:szCs w:val="22"/>
                <w:lang w:val="es-CR" w:eastAsia="es-CR"/>
              </w:rPr>
              <w:t>Subsanación del acuerdo de la Sesión Ordinaria No. 3090, Artículo 12, del 04 de octubre de 2018. “Modificación del acuerdo de la Sesión Ordinaria No. 2943, Artículo 10, del 21 de octubre de 2015. Solicitud de formulación presupuestaria FEITEC, a partir del periodo 2016”.</w:t>
            </w:r>
            <w:r w:rsidR="009062B0" w:rsidRPr="009062B0">
              <w:rPr>
                <w:rFonts w:ascii="Arial" w:eastAsia="Cambria" w:hAnsi="Arial" w:cs="Arial"/>
                <w:b/>
                <w:bCs/>
                <w:sz w:val="22"/>
                <w:szCs w:val="22"/>
                <w:lang w:val="es-CR" w:eastAsia="en-US"/>
              </w:rPr>
              <w:t xml:space="preserve"> </w:t>
            </w:r>
            <w:r w:rsidR="009062B0" w:rsidRPr="009062B0">
              <w:rPr>
                <w:rFonts w:ascii="Arial" w:hAnsi="Arial" w:cs="Arial"/>
                <w:b/>
                <w:sz w:val="16"/>
                <w:szCs w:val="20"/>
              </w:rPr>
              <w:t xml:space="preserve"> </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8F4624" w:rsidRDefault="008F4624" w:rsidP="008F4624">
      <w:pPr>
        <w:jc w:val="both"/>
        <w:rPr>
          <w:rFonts w:ascii="Arial" w:eastAsia="Calibri" w:hAnsi="Arial" w:cs="Arial"/>
          <w:b/>
          <w:bCs/>
          <w:lang w:val="es-CR" w:eastAsia="en-US"/>
        </w:rPr>
      </w:pPr>
    </w:p>
    <w:p w:rsidR="008F4624" w:rsidRPr="008F4624" w:rsidRDefault="008F4624" w:rsidP="008F4624">
      <w:pPr>
        <w:jc w:val="both"/>
        <w:rPr>
          <w:rFonts w:ascii="Arial" w:eastAsia="Calibri" w:hAnsi="Arial" w:cs="Arial"/>
          <w:b/>
          <w:bCs/>
          <w:lang w:val="es-CR" w:eastAsia="en-US"/>
        </w:rPr>
      </w:pPr>
      <w:r w:rsidRPr="008F4624">
        <w:rPr>
          <w:rFonts w:ascii="Arial" w:eastAsia="Calibri" w:hAnsi="Arial" w:cs="Arial"/>
          <w:b/>
          <w:bCs/>
          <w:lang w:val="es-CR" w:eastAsia="en-US"/>
        </w:rPr>
        <w:t>RESULTANDO QUE:</w:t>
      </w:r>
    </w:p>
    <w:p w:rsidR="008F4624" w:rsidRPr="008F4624" w:rsidRDefault="008F4624" w:rsidP="008F4624">
      <w:pPr>
        <w:rPr>
          <w:rFonts w:ascii="Arial" w:eastAsia="Calibri" w:hAnsi="Arial" w:cs="Arial"/>
          <w:sz w:val="22"/>
          <w:szCs w:val="22"/>
        </w:rPr>
      </w:pPr>
    </w:p>
    <w:p w:rsidR="008F4624" w:rsidRPr="008F4624" w:rsidRDefault="008F4624" w:rsidP="008F4624">
      <w:pPr>
        <w:numPr>
          <w:ilvl w:val="0"/>
          <w:numId w:val="28"/>
        </w:numPr>
        <w:contextualSpacing/>
        <w:jc w:val="both"/>
        <w:rPr>
          <w:rFonts w:ascii="Arial" w:eastAsia="Calibri" w:hAnsi="Arial" w:cs="Arial"/>
          <w:sz w:val="22"/>
          <w:szCs w:val="22"/>
        </w:rPr>
      </w:pPr>
      <w:r w:rsidRPr="008F4624">
        <w:rPr>
          <w:rFonts w:ascii="Arial" w:eastAsia="Calibri" w:hAnsi="Arial" w:cs="Arial"/>
          <w:sz w:val="22"/>
          <w:szCs w:val="22"/>
        </w:rPr>
        <w:t>La Asamblea Institucional Representativa modificó, en la Sesión Ordinaria 95-2018, del 03 de octubre de 2018, según publicación en la Gaceta 530 del 22 de octubre de 2018, los artículos 136 y 137 del Estatuto Orgánico, para que se lean de la siguiente manera:</w:t>
      </w:r>
    </w:p>
    <w:p w:rsidR="008F4624" w:rsidRPr="008F4624" w:rsidRDefault="008F4624" w:rsidP="008F4624">
      <w:pPr>
        <w:rPr>
          <w:rFonts w:ascii="Arial" w:eastAsia="Calibri" w:hAnsi="Arial" w:cs="Arial"/>
          <w:sz w:val="22"/>
          <w:szCs w:val="22"/>
        </w:rPr>
      </w:pPr>
    </w:p>
    <w:p w:rsidR="008F4624" w:rsidRPr="008F4624" w:rsidRDefault="008F4624" w:rsidP="008F4624">
      <w:pPr>
        <w:autoSpaceDE w:val="0"/>
        <w:autoSpaceDN w:val="0"/>
        <w:adjustRightInd w:val="0"/>
        <w:ind w:left="851" w:right="333"/>
        <w:jc w:val="both"/>
        <w:rPr>
          <w:rFonts w:ascii="Arial" w:eastAsia="Calibri" w:hAnsi="Arial" w:cs="Arial"/>
          <w:i/>
          <w:color w:val="000000"/>
          <w:sz w:val="20"/>
          <w:szCs w:val="20"/>
          <w:lang w:val="es-CR" w:eastAsia="en-US"/>
        </w:rPr>
      </w:pPr>
      <w:r w:rsidRPr="008F4624">
        <w:rPr>
          <w:rFonts w:ascii="Arial" w:eastAsia="Calibri" w:hAnsi="Arial" w:cs="Arial"/>
          <w:b/>
          <w:bCs/>
          <w:i/>
          <w:color w:val="000000"/>
          <w:sz w:val="20"/>
          <w:szCs w:val="20"/>
          <w:lang w:val="es-CR" w:eastAsia="en-US"/>
        </w:rPr>
        <w:t xml:space="preserve">“Artículo 136 </w:t>
      </w:r>
    </w:p>
    <w:p w:rsidR="008F4624" w:rsidRPr="008F4624" w:rsidRDefault="008F4624" w:rsidP="008F4624">
      <w:pPr>
        <w:autoSpaceDE w:val="0"/>
        <w:autoSpaceDN w:val="0"/>
        <w:adjustRightInd w:val="0"/>
        <w:ind w:left="851" w:right="333"/>
        <w:jc w:val="both"/>
        <w:rPr>
          <w:rFonts w:ascii="Arial" w:eastAsia="Calibri" w:hAnsi="Arial" w:cs="Arial"/>
          <w:i/>
          <w:color w:val="000000"/>
          <w:sz w:val="20"/>
          <w:szCs w:val="20"/>
          <w:lang w:val="es-CR" w:eastAsia="en-US"/>
        </w:rPr>
      </w:pPr>
      <w:r w:rsidRPr="008F4624">
        <w:rPr>
          <w:rFonts w:ascii="Arial" w:eastAsia="Calibri" w:hAnsi="Arial" w:cs="Arial"/>
          <w:i/>
          <w:color w:val="000000"/>
          <w:sz w:val="20"/>
          <w:szCs w:val="20"/>
          <w:lang w:val="es-CR" w:eastAsia="en-US"/>
        </w:rPr>
        <w:t xml:space="preserve">Contra los actos y resoluciones de mero trámite, incidentales o finales de los órganos colegiados y autoridades institucionales que ejerzan funciones de dirección o administrativas, se podrán establecer los recursos ordinarios de revocatoria y de apelación y los extraordinarios de aclaración o adición, de reposición o reconsideración y de revisión; además de la gestión de queja. </w:t>
      </w:r>
    </w:p>
    <w:p w:rsidR="008F4624" w:rsidRPr="008F4624" w:rsidRDefault="008F4624" w:rsidP="008F4624">
      <w:pPr>
        <w:autoSpaceDE w:val="0"/>
        <w:autoSpaceDN w:val="0"/>
        <w:adjustRightInd w:val="0"/>
        <w:ind w:left="851" w:right="333"/>
        <w:jc w:val="both"/>
        <w:rPr>
          <w:rFonts w:ascii="Arial" w:eastAsia="Calibri" w:hAnsi="Arial" w:cs="Arial"/>
          <w:i/>
          <w:color w:val="000000"/>
          <w:sz w:val="20"/>
          <w:szCs w:val="20"/>
          <w:lang w:val="es-CR" w:eastAsia="en-US"/>
        </w:rPr>
      </w:pPr>
    </w:p>
    <w:p w:rsidR="008F4624" w:rsidRPr="008F4624" w:rsidRDefault="008F4624" w:rsidP="008F4624">
      <w:pPr>
        <w:autoSpaceDE w:val="0"/>
        <w:autoSpaceDN w:val="0"/>
        <w:adjustRightInd w:val="0"/>
        <w:ind w:left="851" w:right="333"/>
        <w:jc w:val="both"/>
        <w:rPr>
          <w:rFonts w:ascii="Arial" w:eastAsia="Calibri" w:hAnsi="Arial" w:cs="Arial"/>
          <w:i/>
          <w:color w:val="000000"/>
          <w:sz w:val="20"/>
          <w:szCs w:val="20"/>
          <w:lang w:val="es-CR" w:eastAsia="en-US"/>
        </w:rPr>
      </w:pPr>
      <w:r w:rsidRPr="008F4624">
        <w:rPr>
          <w:rFonts w:ascii="Arial" w:eastAsia="Calibri" w:hAnsi="Arial" w:cs="Arial"/>
          <w:i/>
          <w:color w:val="000000"/>
          <w:sz w:val="20"/>
          <w:szCs w:val="20"/>
          <w:lang w:val="es-CR" w:eastAsia="en-US"/>
        </w:rPr>
        <w:t xml:space="preserve">Todo acto y resolución emitida por órganos colegiados o autoridades institucionales deberá indicar los tipos de recursos que admite y sus respectivos plazos de presentación. </w:t>
      </w:r>
    </w:p>
    <w:p w:rsidR="008F4624" w:rsidRPr="008F4624" w:rsidRDefault="008F4624" w:rsidP="008F4624">
      <w:pPr>
        <w:autoSpaceDE w:val="0"/>
        <w:autoSpaceDN w:val="0"/>
        <w:adjustRightInd w:val="0"/>
        <w:ind w:left="851" w:right="333"/>
        <w:jc w:val="both"/>
        <w:rPr>
          <w:rFonts w:ascii="Arial" w:eastAsia="Calibri" w:hAnsi="Arial" w:cs="Arial"/>
          <w:i/>
          <w:color w:val="000000"/>
          <w:sz w:val="20"/>
          <w:szCs w:val="20"/>
          <w:lang w:val="es-CR" w:eastAsia="en-US"/>
        </w:rPr>
      </w:pPr>
    </w:p>
    <w:p w:rsidR="008F4624" w:rsidRPr="008F4624" w:rsidRDefault="008F4624" w:rsidP="008F4624">
      <w:pPr>
        <w:autoSpaceDE w:val="0"/>
        <w:autoSpaceDN w:val="0"/>
        <w:adjustRightInd w:val="0"/>
        <w:ind w:left="851" w:right="333"/>
        <w:jc w:val="both"/>
        <w:rPr>
          <w:rFonts w:ascii="Arial" w:eastAsia="Calibri" w:hAnsi="Arial" w:cs="Arial"/>
          <w:i/>
          <w:color w:val="000000"/>
          <w:sz w:val="20"/>
          <w:szCs w:val="20"/>
          <w:lang w:val="es-CR" w:eastAsia="en-US"/>
        </w:rPr>
      </w:pPr>
      <w:r w:rsidRPr="008F4624">
        <w:rPr>
          <w:rFonts w:ascii="Arial" w:eastAsia="Calibri" w:hAnsi="Arial" w:cs="Arial"/>
          <w:i/>
          <w:color w:val="000000"/>
          <w:sz w:val="20"/>
          <w:szCs w:val="20"/>
          <w:lang w:val="es-CR" w:eastAsia="en-US"/>
        </w:rPr>
        <w:t xml:space="preserve">Los actos o resoluciones que no indiquen lo anterior se considerarán nulos y no surtirán sus efectos hasta tanto no subsanen ese defecto. </w:t>
      </w:r>
    </w:p>
    <w:p w:rsidR="008F4624" w:rsidRPr="008F4624" w:rsidRDefault="008F4624" w:rsidP="008F4624">
      <w:pPr>
        <w:autoSpaceDE w:val="0"/>
        <w:autoSpaceDN w:val="0"/>
        <w:adjustRightInd w:val="0"/>
        <w:ind w:left="851" w:right="333"/>
        <w:jc w:val="both"/>
        <w:rPr>
          <w:rFonts w:ascii="Arial" w:eastAsia="Calibri" w:hAnsi="Arial" w:cs="Arial"/>
          <w:b/>
          <w:bCs/>
          <w:i/>
          <w:color w:val="000000"/>
          <w:sz w:val="20"/>
          <w:szCs w:val="20"/>
          <w:lang w:val="es-CR" w:eastAsia="en-US"/>
        </w:rPr>
      </w:pPr>
    </w:p>
    <w:p w:rsidR="008F4624" w:rsidRPr="008F4624" w:rsidRDefault="008F4624" w:rsidP="008F4624">
      <w:pPr>
        <w:autoSpaceDE w:val="0"/>
        <w:autoSpaceDN w:val="0"/>
        <w:adjustRightInd w:val="0"/>
        <w:ind w:left="851" w:right="333"/>
        <w:jc w:val="both"/>
        <w:rPr>
          <w:rFonts w:ascii="Arial" w:eastAsia="Calibri" w:hAnsi="Arial" w:cs="Arial"/>
          <w:i/>
          <w:color w:val="000000"/>
          <w:sz w:val="20"/>
          <w:szCs w:val="20"/>
          <w:lang w:val="es-CR" w:eastAsia="en-US"/>
        </w:rPr>
      </w:pPr>
      <w:r w:rsidRPr="008F4624">
        <w:rPr>
          <w:rFonts w:ascii="Arial" w:eastAsia="Calibri" w:hAnsi="Arial" w:cs="Arial"/>
          <w:b/>
          <w:bCs/>
          <w:i/>
          <w:color w:val="000000"/>
          <w:sz w:val="20"/>
          <w:szCs w:val="20"/>
          <w:lang w:val="es-CR" w:eastAsia="en-US"/>
        </w:rPr>
        <w:t xml:space="preserve">Artículo 137 </w:t>
      </w:r>
    </w:p>
    <w:p w:rsidR="008F4624" w:rsidRPr="008F4624" w:rsidRDefault="008F4624" w:rsidP="008F4624">
      <w:pPr>
        <w:autoSpaceDE w:val="0"/>
        <w:autoSpaceDN w:val="0"/>
        <w:adjustRightInd w:val="0"/>
        <w:ind w:left="851" w:right="333"/>
        <w:rPr>
          <w:rFonts w:ascii="Arial" w:eastAsia="Calibri" w:hAnsi="Arial" w:cs="Arial"/>
          <w:i/>
          <w:color w:val="000000"/>
          <w:sz w:val="20"/>
          <w:szCs w:val="20"/>
          <w:lang w:val="es-CR" w:eastAsia="en-US"/>
        </w:rPr>
      </w:pPr>
      <w:r w:rsidRPr="008F4624">
        <w:rPr>
          <w:rFonts w:ascii="Arial" w:eastAsia="Calibri" w:hAnsi="Arial" w:cs="Arial"/>
          <w:i/>
          <w:color w:val="000000"/>
          <w:sz w:val="20"/>
          <w:szCs w:val="20"/>
          <w:lang w:val="es-CR" w:eastAsia="en-US"/>
        </w:rPr>
        <w:t>Corresponde al superior jerárquico conocer en alzada la apelación. Todo recurso presentado fuera de plazo, será inadmisible y rechazado ad portas por extemporáneo”.</w:t>
      </w:r>
    </w:p>
    <w:p w:rsidR="008F4624" w:rsidRPr="008F4624" w:rsidRDefault="008F4624" w:rsidP="008F4624">
      <w:pPr>
        <w:rPr>
          <w:rFonts w:ascii="Arial" w:eastAsia="Calibri" w:hAnsi="Arial" w:cs="Arial"/>
          <w:sz w:val="22"/>
          <w:szCs w:val="22"/>
        </w:rPr>
      </w:pPr>
    </w:p>
    <w:p w:rsidR="008F4624" w:rsidRPr="008F4624" w:rsidRDefault="008F4624" w:rsidP="008F4624">
      <w:pPr>
        <w:numPr>
          <w:ilvl w:val="0"/>
          <w:numId w:val="28"/>
        </w:numPr>
        <w:contextualSpacing/>
        <w:jc w:val="both"/>
        <w:rPr>
          <w:rFonts w:ascii="Arial" w:eastAsia="Calibri" w:hAnsi="Arial" w:cs="Arial"/>
          <w:sz w:val="22"/>
          <w:szCs w:val="22"/>
        </w:rPr>
      </w:pPr>
      <w:r w:rsidRPr="008F4624">
        <w:rPr>
          <w:rFonts w:ascii="Arial" w:eastAsia="Calibri" w:hAnsi="Arial" w:cs="Arial"/>
          <w:sz w:val="22"/>
          <w:szCs w:val="22"/>
        </w:rPr>
        <w:t>En la Sesión Ordinaria No. 3090, Artículo 12, del 04 de octubre de 2018, se adoptó el acuerdo “</w:t>
      </w:r>
      <w:r w:rsidRPr="008F4624">
        <w:rPr>
          <w:rFonts w:ascii="Arial" w:eastAsia="Calibri" w:hAnsi="Arial" w:cs="Arial"/>
          <w:sz w:val="22"/>
          <w:szCs w:val="22"/>
          <w:lang w:eastAsia="en-US"/>
        </w:rPr>
        <w:t xml:space="preserve">Modificación del acuerdo de la Sesión Ordinaria No. 2943, Artículo 10, del 21 de </w:t>
      </w:r>
      <w:r w:rsidRPr="008F4624">
        <w:rPr>
          <w:rFonts w:ascii="Arial" w:eastAsia="Calibri" w:hAnsi="Arial" w:cs="Arial"/>
          <w:sz w:val="22"/>
          <w:szCs w:val="22"/>
          <w:lang w:eastAsia="en-US"/>
        </w:rPr>
        <w:lastRenderedPageBreak/>
        <w:t>octubre de 2015. Solicitud de formulación presupuestaria FEITEC, a partir del periodo 2016</w:t>
      </w:r>
      <w:r w:rsidRPr="008F4624">
        <w:rPr>
          <w:rFonts w:ascii="Arial" w:eastAsia="Calibri" w:hAnsi="Arial" w:cs="Arial"/>
          <w:sz w:val="22"/>
          <w:szCs w:val="22"/>
        </w:rPr>
        <w:t>”.</w:t>
      </w:r>
    </w:p>
    <w:p w:rsidR="008F4624" w:rsidRPr="008F4624" w:rsidRDefault="008F4624" w:rsidP="008F4624">
      <w:pPr>
        <w:jc w:val="both"/>
        <w:rPr>
          <w:rFonts w:ascii="Arial" w:eastAsia="Calibri" w:hAnsi="Arial" w:cs="Arial"/>
          <w:sz w:val="22"/>
          <w:szCs w:val="22"/>
        </w:rPr>
      </w:pPr>
    </w:p>
    <w:p w:rsidR="008F4624" w:rsidRPr="008F4624" w:rsidRDefault="008F4624" w:rsidP="008F4624">
      <w:pPr>
        <w:numPr>
          <w:ilvl w:val="0"/>
          <w:numId w:val="28"/>
        </w:numPr>
        <w:contextualSpacing/>
        <w:jc w:val="both"/>
        <w:rPr>
          <w:rFonts w:ascii="Arial" w:eastAsia="Calibri" w:hAnsi="Arial" w:cs="Arial"/>
          <w:sz w:val="22"/>
          <w:szCs w:val="22"/>
        </w:rPr>
      </w:pPr>
      <w:r w:rsidRPr="008F4624">
        <w:rPr>
          <w:rFonts w:ascii="Arial" w:eastAsia="Calibri" w:hAnsi="Arial" w:cs="Arial"/>
          <w:sz w:val="22"/>
          <w:szCs w:val="22"/>
        </w:rPr>
        <w:t>El Artículo 72 del Reglamento del Consejo Institucional, establece lo siguiente:</w:t>
      </w:r>
    </w:p>
    <w:p w:rsidR="008F4624" w:rsidRPr="008F4624" w:rsidRDefault="008F4624" w:rsidP="008F4624">
      <w:pPr>
        <w:jc w:val="both"/>
        <w:rPr>
          <w:rFonts w:ascii="Verdana" w:hAnsi="Verdana"/>
          <w:sz w:val="18"/>
          <w:szCs w:val="18"/>
          <w:lang w:eastAsia="es-CR"/>
        </w:rPr>
      </w:pPr>
    </w:p>
    <w:p w:rsidR="008F4624" w:rsidRPr="008F4624" w:rsidRDefault="008F4624" w:rsidP="008F4624">
      <w:pPr>
        <w:autoSpaceDE w:val="0"/>
        <w:autoSpaceDN w:val="0"/>
        <w:adjustRightInd w:val="0"/>
        <w:ind w:left="851" w:right="333"/>
        <w:jc w:val="both"/>
        <w:rPr>
          <w:rFonts w:ascii="Arial" w:eastAsia="Calibri" w:hAnsi="Arial" w:cs="Arial"/>
          <w:i/>
          <w:color w:val="000000"/>
          <w:sz w:val="20"/>
          <w:szCs w:val="20"/>
          <w:lang w:val="es-CR" w:eastAsia="en-US"/>
        </w:rPr>
      </w:pPr>
      <w:r w:rsidRPr="008F4624">
        <w:rPr>
          <w:rFonts w:ascii="Arial" w:eastAsia="Calibri" w:hAnsi="Arial" w:cs="Arial"/>
          <w:i/>
          <w:color w:val="000000"/>
          <w:sz w:val="20"/>
          <w:szCs w:val="20"/>
          <w:lang w:eastAsia="en-US"/>
        </w:rPr>
        <w:t>“</w:t>
      </w:r>
      <w:r w:rsidRPr="008F4624">
        <w:rPr>
          <w:rFonts w:ascii="Arial" w:eastAsia="Calibri" w:hAnsi="Arial" w:cs="Arial"/>
          <w:i/>
          <w:color w:val="000000"/>
          <w:sz w:val="20"/>
          <w:szCs w:val="20"/>
          <w:lang w:val="es-CR" w:eastAsia="en-US"/>
        </w:rPr>
        <w:t>Contra los actos y resoluciones del Consejo Institucional podrán establecerse los recursos ordinarios de revocatoria y apelación, salvo los asuntos en materia de contratación administrativa”.</w:t>
      </w:r>
    </w:p>
    <w:p w:rsidR="008F4624" w:rsidRPr="008F4624" w:rsidRDefault="008F4624" w:rsidP="008F4624">
      <w:pPr>
        <w:autoSpaceDE w:val="0"/>
        <w:autoSpaceDN w:val="0"/>
        <w:adjustRightInd w:val="0"/>
        <w:ind w:left="851" w:right="333"/>
        <w:jc w:val="both"/>
        <w:rPr>
          <w:rFonts w:ascii="Arial" w:eastAsia="Calibri" w:hAnsi="Arial" w:cs="Arial"/>
          <w:color w:val="000000"/>
          <w:sz w:val="22"/>
          <w:szCs w:val="22"/>
          <w:lang w:val="es-CR" w:eastAsia="en-US"/>
        </w:rPr>
      </w:pPr>
    </w:p>
    <w:p w:rsidR="008F4624" w:rsidRDefault="008F4624" w:rsidP="008F4624">
      <w:pPr>
        <w:numPr>
          <w:ilvl w:val="0"/>
          <w:numId w:val="28"/>
        </w:numPr>
        <w:contextualSpacing/>
        <w:jc w:val="both"/>
        <w:rPr>
          <w:rFonts w:ascii="Arial" w:eastAsia="Calibri" w:hAnsi="Arial" w:cs="Arial"/>
          <w:sz w:val="22"/>
          <w:szCs w:val="22"/>
        </w:rPr>
      </w:pPr>
      <w:r w:rsidRPr="008F4624">
        <w:rPr>
          <w:rFonts w:ascii="Arial" w:eastAsia="Calibri" w:hAnsi="Arial" w:cs="Arial"/>
          <w:sz w:val="22"/>
          <w:szCs w:val="22"/>
        </w:rPr>
        <w:t>El artículo 5 de la “Norma Reglamentaria de los Artículos 136 y 137 del Estatuto Orgánico”, aprobada por la Asamblea Institucional Representativa en la Sesión Ordinaria 95-2018 del 03 de octubre de 2018, publicadas en la Gaceta 530 del 22 de octubre de 2018, indica:</w:t>
      </w:r>
    </w:p>
    <w:p w:rsidR="008F4624" w:rsidRPr="008F4624" w:rsidRDefault="008F4624" w:rsidP="008F4624">
      <w:pPr>
        <w:ind w:left="360"/>
        <w:contextualSpacing/>
        <w:jc w:val="both"/>
        <w:rPr>
          <w:rFonts w:ascii="Arial" w:eastAsia="Calibri" w:hAnsi="Arial" w:cs="Arial"/>
          <w:sz w:val="22"/>
          <w:szCs w:val="22"/>
        </w:rPr>
      </w:pPr>
    </w:p>
    <w:p w:rsidR="008F4624" w:rsidRPr="008F4624" w:rsidRDefault="008F4624" w:rsidP="008F4624">
      <w:pPr>
        <w:autoSpaceDE w:val="0"/>
        <w:autoSpaceDN w:val="0"/>
        <w:adjustRightInd w:val="0"/>
        <w:ind w:left="851" w:right="333"/>
        <w:jc w:val="both"/>
        <w:rPr>
          <w:rFonts w:ascii="Arial" w:eastAsia="Calibri" w:hAnsi="Arial" w:cs="Arial"/>
          <w:i/>
          <w:color w:val="000000"/>
          <w:sz w:val="20"/>
          <w:szCs w:val="20"/>
          <w:lang w:val="es-CR" w:eastAsia="en-US"/>
        </w:rPr>
      </w:pPr>
      <w:r w:rsidRPr="008F4624">
        <w:rPr>
          <w:rFonts w:ascii="Arial" w:eastAsia="Calibri" w:hAnsi="Arial" w:cs="Arial"/>
          <w:i/>
          <w:color w:val="000000"/>
          <w:sz w:val="20"/>
          <w:szCs w:val="20"/>
          <w:lang w:eastAsia="en-US"/>
        </w:rPr>
        <w:t>“</w:t>
      </w:r>
      <w:r w:rsidRPr="008F4624">
        <w:rPr>
          <w:rFonts w:ascii="Arial" w:eastAsia="Calibri" w:hAnsi="Arial" w:cs="Arial"/>
          <w:i/>
          <w:color w:val="000000"/>
          <w:sz w:val="20"/>
          <w:szCs w:val="20"/>
          <w:lang w:val="es-CR" w:eastAsia="en-US"/>
        </w:rPr>
        <w:t>Artículo 5.</w:t>
      </w:r>
    </w:p>
    <w:p w:rsidR="008F4624" w:rsidRPr="008F4624" w:rsidRDefault="008F4624" w:rsidP="008F4624">
      <w:pPr>
        <w:autoSpaceDE w:val="0"/>
        <w:autoSpaceDN w:val="0"/>
        <w:adjustRightInd w:val="0"/>
        <w:ind w:left="851" w:right="333"/>
        <w:jc w:val="both"/>
        <w:rPr>
          <w:rFonts w:ascii="Arial" w:eastAsia="Calibri" w:hAnsi="Arial" w:cs="Arial"/>
          <w:i/>
          <w:color w:val="000000"/>
          <w:sz w:val="20"/>
          <w:szCs w:val="20"/>
          <w:lang w:val="es-CR" w:eastAsia="en-US"/>
        </w:rPr>
      </w:pPr>
      <w:r w:rsidRPr="008F4624">
        <w:rPr>
          <w:rFonts w:ascii="Arial" w:eastAsia="Calibri" w:hAnsi="Arial" w:cs="Arial"/>
          <w:i/>
          <w:color w:val="000000"/>
          <w:sz w:val="20"/>
          <w:szCs w:val="20"/>
          <w:lang w:val="es-CR" w:eastAsia="en-US"/>
        </w:rPr>
        <w:t>El plazo para interponer los recursos ordinarios de revocatoria o de apelación es de cinco (5) días hábiles, contados a partir del día hábil siguiente a la fecha en que se ha notificado o publicado el acuerdo o la resolución objeto del recurso. El órgano recurrido cuenta con un plazo perentorio de 10 días hábiles para resolver el recurso interpuesto, salvo que haya norma especial que disponga otro plazo.</w:t>
      </w:r>
    </w:p>
    <w:p w:rsidR="008F4624" w:rsidRPr="008F4624" w:rsidRDefault="008F4624" w:rsidP="008F4624">
      <w:pPr>
        <w:autoSpaceDE w:val="0"/>
        <w:autoSpaceDN w:val="0"/>
        <w:adjustRightInd w:val="0"/>
        <w:ind w:left="851" w:right="333"/>
        <w:jc w:val="both"/>
        <w:rPr>
          <w:rFonts w:ascii="Arial" w:eastAsia="Calibri" w:hAnsi="Arial" w:cs="Arial"/>
          <w:i/>
          <w:color w:val="000000"/>
          <w:sz w:val="20"/>
          <w:szCs w:val="20"/>
          <w:lang w:val="es-CR" w:eastAsia="en-US"/>
        </w:rPr>
      </w:pPr>
      <w:r w:rsidRPr="008F4624">
        <w:rPr>
          <w:rFonts w:ascii="Arial" w:eastAsia="Calibri" w:hAnsi="Arial" w:cs="Arial"/>
          <w:i/>
          <w:color w:val="000000"/>
          <w:sz w:val="20"/>
          <w:szCs w:val="20"/>
          <w:lang w:val="es-CR" w:eastAsia="en-US"/>
        </w:rPr>
        <w:t>En caso que el recurrente opte por interponer en el mismo acto el recurso de revocatoria y en subsidio el de apelación, el órgano de primera instancia, salvo que acoja totalmente el recurso presentado en su contra, contará con un plazo de dos (2) días hábiles para trasladar a su superior jerárquico la resolución o acuerdo con que resuelve el recurso de revocatoria, junto al expediente que se formó en la atención del caso, a partir del día hábil siguiente al dictado de su resolución”.</w:t>
      </w:r>
    </w:p>
    <w:p w:rsidR="008F4624" w:rsidRPr="008F4624" w:rsidRDefault="008F4624" w:rsidP="008F4624">
      <w:pPr>
        <w:jc w:val="both"/>
        <w:rPr>
          <w:rFonts w:ascii="Arial" w:eastAsia="Calibri" w:hAnsi="Arial" w:cs="Arial"/>
          <w:sz w:val="22"/>
          <w:szCs w:val="22"/>
        </w:rPr>
      </w:pPr>
    </w:p>
    <w:p w:rsidR="008F4624" w:rsidRPr="008F4624" w:rsidRDefault="008F4624" w:rsidP="008F4624">
      <w:pPr>
        <w:jc w:val="both"/>
        <w:rPr>
          <w:rFonts w:ascii="Arial" w:eastAsia="Calibri" w:hAnsi="Arial" w:cs="Arial"/>
          <w:b/>
          <w:bCs/>
          <w:lang w:val="es-CR" w:eastAsia="en-US"/>
        </w:rPr>
      </w:pPr>
      <w:r w:rsidRPr="008F4624">
        <w:rPr>
          <w:rFonts w:ascii="Arial" w:eastAsia="Calibri" w:hAnsi="Arial" w:cs="Arial"/>
          <w:b/>
          <w:bCs/>
          <w:lang w:val="es-CR" w:eastAsia="en-US"/>
        </w:rPr>
        <w:t>CONSIDERANDO QUE:</w:t>
      </w:r>
    </w:p>
    <w:p w:rsidR="008F4624" w:rsidRPr="008F4624" w:rsidRDefault="008F4624" w:rsidP="008F4624">
      <w:pPr>
        <w:jc w:val="both"/>
        <w:rPr>
          <w:rFonts w:ascii="Arial" w:eastAsia="Calibri" w:hAnsi="Arial" w:cs="Arial"/>
          <w:sz w:val="22"/>
          <w:szCs w:val="22"/>
        </w:rPr>
      </w:pPr>
    </w:p>
    <w:p w:rsidR="008F4624" w:rsidRPr="008F4624" w:rsidRDefault="008F4624" w:rsidP="008F4624">
      <w:pPr>
        <w:numPr>
          <w:ilvl w:val="0"/>
          <w:numId w:val="29"/>
        </w:numPr>
        <w:contextualSpacing/>
        <w:jc w:val="both"/>
        <w:rPr>
          <w:rFonts w:ascii="Arial" w:eastAsia="Calibri" w:hAnsi="Arial" w:cs="Arial"/>
          <w:sz w:val="22"/>
          <w:szCs w:val="22"/>
        </w:rPr>
      </w:pPr>
      <w:r w:rsidRPr="008F4624">
        <w:rPr>
          <w:rFonts w:ascii="Arial" w:eastAsia="Calibri" w:hAnsi="Arial" w:cs="Arial"/>
          <w:sz w:val="22"/>
          <w:szCs w:val="22"/>
        </w:rPr>
        <w:t>En el acuerdo adoptado por el Consejo Institucional en la Sesión Ordinaria No. 3090, Artículo 12, del 04 de octubre de 2018, no se especificaron los recursos que admite, ni los plazos de presentación.</w:t>
      </w:r>
    </w:p>
    <w:p w:rsidR="008F4624" w:rsidRPr="008F4624" w:rsidRDefault="008F4624" w:rsidP="008F4624">
      <w:pPr>
        <w:jc w:val="both"/>
        <w:rPr>
          <w:rFonts w:ascii="Arial" w:eastAsia="Calibri" w:hAnsi="Arial" w:cs="Arial"/>
          <w:sz w:val="22"/>
          <w:szCs w:val="22"/>
        </w:rPr>
      </w:pPr>
    </w:p>
    <w:p w:rsidR="008F4624" w:rsidRPr="008F4624" w:rsidRDefault="008F4624" w:rsidP="008F4624">
      <w:pPr>
        <w:numPr>
          <w:ilvl w:val="0"/>
          <w:numId w:val="29"/>
        </w:numPr>
        <w:contextualSpacing/>
        <w:jc w:val="both"/>
        <w:rPr>
          <w:rFonts w:ascii="Arial" w:eastAsia="Calibri" w:hAnsi="Arial" w:cs="Arial"/>
          <w:sz w:val="22"/>
          <w:szCs w:val="22"/>
          <w:lang w:val="es-CR"/>
        </w:rPr>
      </w:pPr>
      <w:r w:rsidRPr="008F4624">
        <w:rPr>
          <w:rFonts w:ascii="Arial" w:eastAsia="Calibri" w:hAnsi="Arial" w:cs="Arial"/>
          <w:sz w:val="22"/>
          <w:szCs w:val="22"/>
          <w:lang w:val="es-CR"/>
        </w:rPr>
        <w:t xml:space="preserve">El artículo 136 del Estatuto Orgánico, permite subsanar el que no se </w:t>
      </w:r>
      <w:proofErr w:type="gramStart"/>
      <w:r w:rsidRPr="008F4624">
        <w:rPr>
          <w:rFonts w:ascii="Arial" w:eastAsia="Calibri" w:hAnsi="Arial" w:cs="Arial"/>
          <w:sz w:val="22"/>
          <w:szCs w:val="22"/>
          <w:lang w:val="es-CR"/>
        </w:rPr>
        <w:t>haya  indicado</w:t>
      </w:r>
      <w:proofErr w:type="gramEnd"/>
      <w:r w:rsidRPr="008F4624">
        <w:rPr>
          <w:rFonts w:ascii="Arial" w:eastAsia="Calibri" w:hAnsi="Arial" w:cs="Arial"/>
          <w:sz w:val="22"/>
          <w:szCs w:val="22"/>
          <w:lang w:val="es-CR"/>
        </w:rPr>
        <w:t xml:space="preserve"> el tipo de recursos y los plazos para interponerlos, con el propósito de recuperar la validez del acto o resolución.</w:t>
      </w:r>
    </w:p>
    <w:p w:rsidR="008F4624" w:rsidRPr="008F4624" w:rsidRDefault="008F4624" w:rsidP="008F4624">
      <w:pPr>
        <w:ind w:left="720"/>
        <w:contextualSpacing/>
        <w:rPr>
          <w:rFonts w:ascii="Arial" w:eastAsia="Calibri" w:hAnsi="Arial" w:cs="Arial"/>
          <w:sz w:val="22"/>
          <w:szCs w:val="22"/>
          <w:lang w:val="es-CR"/>
        </w:rPr>
      </w:pPr>
    </w:p>
    <w:p w:rsidR="008F4624" w:rsidRPr="008F4624" w:rsidRDefault="008F4624" w:rsidP="008F4624">
      <w:pPr>
        <w:jc w:val="both"/>
        <w:rPr>
          <w:rFonts w:ascii="Arial" w:eastAsia="Calibri" w:hAnsi="Arial" w:cs="Arial"/>
          <w:b/>
          <w:sz w:val="22"/>
          <w:szCs w:val="22"/>
          <w:lang w:val="es-CR"/>
        </w:rPr>
      </w:pPr>
      <w:r w:rsidRPr="008F4624">
        <w:rPr>
          <w:rFonts w:ascii="Arial" w:eastAsia="Calibri" w:hAnsi="Arial" w:cs="Arial"/>
          <w:b/>
          <w:sz w:val="22"/>
          <w:szCs w:val="22"/>
          <w:lang w:val="es-CR"/>
        </w:rPr>
        <w:t>SE</w:t>
      </w:r>
      <w:r>
        <w:rPr>
          <w:rFonts w:ascii="Arial" w:eastAsia="Calibri" w:hAnsi="Arial" w:cs="Arial"/>
          <w:b/>
          <w:sz w:val="22"/>
          <w:szCs w:val="22"/>
          <w:lang w:val="es-CR"/>
        </w:rPr>
        <w:t xml:space="preserve"> ACUERDA</w:t>
      </w:r>
      <w:r w:rsidRPr="008F4624">
        <w:rPr>
          <w:rFonts w:ascii="Arial" w:eastAsia="Calibri" w:hAnsi="Arial" w:cs="Arial"/>
          <w:b/>
          <w:sz w:val="22"/>
          <w:szCs w:val="22"/>
          <w:lang w:val="es-CR"/>
        </w:rPr>
        <w:t>:</w:t>
      </w:r>
    </w:p>
    <w:p w:rsidR="008F4624" w:rsidRPr="008F4624" w:rsidRDefault="008F4624" w:rsidP="008F4624">
      <w:pPr>
        <w:ind w:left="720"/>
        <w:contextualSpacing/>
        <w:rPr>
          <w:rFonts w:ascii="Arial" w:eastAsia="Calibri" w:hAnsi="Arial" w:cs="Arial"/>
          <w:sz w:val="22"/>
          <w:szCs w:val="22"/>
          <w:lang w:val="es-CR"/>
        </w:rPr>
      </w:pPr>
    </w:p>
    <w:p w:rsidR="008F4624" w:rsidRPr="008F4624" w:rsidRDefault="008F4624" w:rsidP="008F4624">
      <w:pPr>
        <w:numPr>
          <w:ilvl w:val="0"/>
          <w:numId w:val="30"/>
        </w:numPr>
        <w:contextualSpacing/>
        <w:jc w:val="both"/>
        <w:rPr>
          <w:rFonts w:ascii="Arial" w:eastAsia="Calibri" w:hAnsi="Arial" w:cs="Arial"/>
          <w:sz w:val="22"/>
          <w:szCs w:val="22"/>
          <w:lang w:val="es-CR"/>
        </w:rPr>
      </w:pPr>
      <w:r w:rsidRPr="008F4624">
        <w:rPr>
          <w:rFonts w:ascii="Arial" w:eastAsia="Calibri" w:hAnsi="Arial" w:cs="Arial"/>
          <w:sz w:val="22"/>
          <w:szCs w:val="22"/>
          <w:lang w:val="es-CR"/>
        </w:rPr>
        <w:t xml:space="preserve">Subsanar la omisión de los recursos que pueden presentarse en contra del acuerdo de la </w:t>
      </w:r>
      <w:r w:rsidRPr="008F4624">
        <w:rPr>
          <w:rFonts w:ascii="Arial" w:eastAsia="Calibri" w:hAnsi="Arial" w:cs="Arial"/>
          <w:sz w:val="22"/>
          <w:szCs w:val="22"/>
        </w:rPr>
        <w:t>Sesión Ordinaria No. 3090, Artículo 12, del 04 de octubre de 2018, y los plazos para hacerlo, de manera que el acuerdo se lea de la siguiente manera:</w:t>
      </w:r>
    </w:p>
    <w:p w:rsidR="008F4624" w:rsidRPr="008F4624" w:rsidRDefault="008F4624" w:rsidP="008F4624">
      <w:pPr>
        <w:jc w:val="both"/>
        <w:rPr>
          <w:rFonts w:ascii="Arial" w:eastAsia="Calibri" w:hAnsi="Arial" w:cs="Arial"/>
          <w:sz w:val="22"/>
          <w:szCs w:val="22"/>
          <w:lang w:val="es-CR"/>
        </w:rPr>
      </w:pPr>
    </w:p>
    <w:p w:rsidR="008F4624" w:rsidRPr="008F4624" w:rsidRDefault="008F4624" w:rsidP="008F4624">
      <w:pPr>
        <w:ind w:left="426"/>
        <w:contextualSpacing/>
        <w:jc w:val="both"/>
        <w:outlineLvl w:val="0"/>
        <w:rPr>
          <w:rFonts w:ascii="Arial" w:eastAsia="Calibri" w:hAnsi="Arial" w:cs="Arial"/>
          <w:b/>
          <w:lang w:val="es-CR" w:eastAsia="en-US"/>
        </w:rPr>
      </w:pPr>
      <w:r w:rsidRPr="008F4624">
        <w:rPr>
          <w:rFonts w:ascii="Arial" w:eastAsia="Calibri" w:hAnsi="Arial" w:cs="Arial"/>
          <w:b/>
          <w:lang w:val="es-CR" w:eastAsia="en-US"/>
        </w:rPr>
        <w:t>RESULTANDO QUE:</w:t>
      </w:r>
    </w:p>
    <w:p w:rsidR="008F4624" w:rsidRPr="008F4624" w:rsidRDefault="008F4624" w:rsidP="008F4624">
      <w:pPr>
        <w:contextualSpacing/>
        <w:jc w:val="both"/>
        <w:outlineLvl w:val="0"/>
        <w:rPr>
          <w:rFonts w:ascii="Arial" w:eastAsia="Calibri" w:hAnsi="Arial" w:cs="Arial"/>
          <w:b/>
          <w:i/>
          <w:sz w:val="16"/>
          <w:szCs w:val="16"/>
          <w:lang w:val="es-CR" w:eastAsia="en-US"/>
        </w:rPr>
      </w:pPr>
    </w:p>
    <w:p w:rsidR="008F4624" w:rsidRPr="008F4624" w:rsidRDefault="008F4624" w:rsidP="008F4624">
      <w:pPr>
        <w:numPr>
          <w:ilvl w:val="0"/>
          <w:numId w:val="34"/>
        </w:numPr>
        <w:ind w:left="709" w:hanging="357"/>
        <w:jc w:val="both"/>
        <w:rPr>
          <w:rFonts w:ascii="Arial" w:eastAsia="Calibri" w:hAnsi="Arial" w:cs="Arial"/>
          <w:lang w:val="es-CR" w:eastAsia="es-CR"/>
        </w:rPr>
      </w:pPr>
      <w:r w:rsidRPr="008F4624">
        <w:rPr>
          <w:rFonts w:ascii="Arial" w:eastAsia="Calibri" w:hAnsi="Arial" w:cs="Arial"/>
          <w:lang w:val="es-CR" w:eastAsia="es-CR"/>
        </w:rPr>
        <w:t>El Artículo 109 del Estatuto Orgánico del Instituto Tecnológico de Costa Rica, establece lo siguiente:</w:t>
      </w:r>
    </w:p>
    <w:p w:rsidR="008F4624" w:rsidRPr="008F4624" w:rsidRDefault="008F4624" w:rsidP="008F4624">
      <w:pPr>
        <w:ind w:left="-23"/>
        <w:contextualSpacing/>
        <w:jc w:val="both"/>
        <w:rPr>
          <w:rFonts w:ascii="Arial" w:eastAsia="Calibri" w:hAnsi="Arial" w:cs="Arial"/>
          <w:i/>
          <w:sz w:val="16"/>
          <w:szCs w:val="16"/>
          <w:lang w:val="es-CR" w:eastAsia="es-CR"/>
        </w:rPr>
      </w:pPr>
    </w:p>
    <w:p w:rsidR="008F4624" w:rsidRPr="008F4624" w:rsidRDefault="008F4624" w:rsidP="008F4624">
      <w:pPr>
        <w:ind w:left="992" w:right="567" w:hanging="11"/>
        <w:jc w:val="both"/>
        <w:rPr>
          <w:rFonts w:ascii="Arial" w:eastAsia="Calibri" w:hAnsi="Arial" w:cs="Arial"/>
          <w:i/>
          <w:sz w:val="22"/>
          <w:szCs w:val="22"/>
          <w:lang w:val="es-CR" w:eastAsia="es-CR"/>
        </w:rPr>
      </w:pPr>
      <w:r w:rsidRPr="008F4624">
        <w:rPr>
          <w:rFonts w:ascii="Arial" w:eastAsia="Calibri" w:hAnsi="Arial" w:cs="Arial"/>
          <w:i/>
          <w:sz w:val="22"/>
          <w:szCs w:val="22"/>
          <w:lang w:val="es-CR" w:eastAsia="es-CR"/>
        </w:rPr>
        <w:t>“Artículo 109: La Federación de Estudiantes del Instituto Tecnológico de Costa Rica contará con un presupuesto formado por las cuotas correspondientes por derechos de matrícula y las sumas que el Consejo Institucional, de acuerdo con las necesidades y las disponibilidades presupuestarias del Instituto, le asigne.”</w:t>
      </w:r>
    </w:p>
    <w:p w:rsidR="008F4624" w:rsidRPr="008F4624" w:rsidRDefault="008F4624" w:rsidP="008F4624">
      <w:pPr>
        <w:ind w:left="352"/>
        <w:jc w:val="both"/>
        <w:rPr>
          <w:rFonts w:ascii="Arial" w:eastAsia="Calibri" w:hAnsi="Arial" w:cs="Arial"/>
          <w:lang w:val="es-CR" w:eastAsia="es-CR"/>
        </w:rPr>
      </w:pPr>
    </w:p>
    <w:p w:rsidR="008F4624" w:rsidRPr="008F4624" w:rsidRDefault="008F4624" w:rsidP="008F4624">
      <w:pPr>
        <w:numPr>
          <w:ilvl w:val="0"/>
          <w:numId w:val="34"/>
        </w:numPr>
        <w:ind w:left="709" w:hanging="357"/>
        <w:jc w:val="both"/>
        <w:rPr>
          <w:rFonts w:ascii="Arial" w:eastAsia="Calibri" w:hAnsi="Arial" w:cs="Arial"/>
          <w:lang w:val="es-CR" w:eastAsia="es-CR"/>
        </w:rPr>
      </w:pPr>
      <w:r w:rsidRPr="008F4624">
        <w:rPr>
          <w:rFonts w:ascii="Arial" w:eastAsia="Calibri" w:hAnsi="Arial" w:cs="Arial"/>
          <w:lang w:val="es-CR" w:eastAsia="es-CR"/>
        </w:rPr>
        <w:t>Según oficio VAD-245-2015 con fecha del 24 de junio del 2015, dirigido al Dr. Julio Calvo Alvarado, Presidente del Consejo Institucional, suscrito por MBA. William Vives Brenes, Vicerrector de Administración</w:t>
      </w:r>
      <w:r>
        <w:rPr>
          <w:rFonts w:ascii="Arial" w:eastAsia="Calibri" w:hAnsi="Arial" w:cs="Arial"/>
          <w:lang w:val="es-CR" w:eastAsia="es-CR"/>
        </w:rPr>
        <w:t>,</w:t>
      </w:r>
      <w:r w:rsidRPr="008F4624">
        <w:rPr>
          <w:rFonts w:ascii="Arial" w:eastAsia="Calibri" w:hAnsi="Arial" w:cs="Arial"/>
          <w:lang w:val="es-CR" w:eastAsia="es-CR"/>
        </w:rPr>
        <w:t xml:space="preserve"> se indica: </w:t>
      </w:r>
    </w:p>
    <w:p w:rsidR="008F4624" w:rsidRPr="008F4624" w:rsidRDefault="008F4624" w:rsidP="008F4624">
      <w:pPr>
        <w:ind w:left="334"/>
        <w:jc w:val="both"/>
        <w:rPr>
          <w:rFonts w:ascii="Arial" w:eastAsia="Calibri" w:hAnsi="Arial" w:cs="Arial"/>
          <w:i/>
          <w:lang w:eastAsia="en-US"/>
        </w:rPr>
      </w:pPr>
    </w:p>
    <w:p w:rsidR="008F4624" w:rsidRPr="008F4624" w:rsidRDefault="008F4624" w:rsidP="008F4624">
      <w:pPr>
        <w:tabs>
          <w:tab w:val="left" w:pos="284"/>
        </w:tabs>
        <w:ind w:left="1276" w:right="616" w:hanging="360"/>
        <w:jc w:val="both"/>
        <w:rPr>
          <w:rFonts w:ascii="Arial" w:eastAsia="Calibri" w:hAnsi="Arial" w:cs="Arial"/>
          <w:i/>
          <w:sz w:val="22"/>
          <w:szCs w:val="22"/>
          <w:lang w:val="es-CR" w:eastAsia="en-US"/>
        </w:rPr>
      </w:pPr>
      <w:r w:rsidRPr="008F4624">
        <w:rPr>
          <w:rFonts w:ascii="Arial" w:eastAsia="Calibri" w:hAnsi="Arial" w:cs="Arial"/>
          <w:i/>
          <w:sz w:val="22"/>
          <w:szCs w:val="22"/>
          <w:lang w:val="es-CR" w:eastAsia="en-US"/>
        </w:rPr>
        <w:t>“3.  Que los montos anteriores para la asignación de presupuesto para la FEITEC  2016-2018 se respaldan en las siguientes premisas:</w:t>
      </w:r>
    </w:p>
    <w:p w:rsidR="008F4624" w:rsidRPr="008F4624" w:rsidRDefault="008F4624" w:rsidP="008F4624">
      <w:pPr>
        <w:ind w:left="1276" w:right="616"/>
        <w:contextualSpacing/>
        <w:jc w:val="both"/>
        <w:rPr>
          <w:rFonts w:ascii="Arial" w:eastAsia="Calibri" w:hAnsi="Arial" w:cs="Arial"/>
          <w:b/>
          <w:i/>
          <w:sz w:val="16"/>
          <w:szCs w:val="16"/>
          <w:lang w:val="es-CR" w:eastAsia="en-US"/>
        </w:rPr>
      </w:pPr>
    </w:p>
    <w:p w:rsidR="008F4624" w:rsidRPr="008F4624" w:rsidRDefault="008F4624" w:rsidP="008F4624">
      <w:pPr>
        <w:numPr>
          <w:ilvl w:val="0"/>
          <w:numId w:val="32"/>
        </w:numPr>
        <w:tabs>
          <w:tab w:val="left" w:pos="284"/>
        </w:tabs>
        <w:ind w:left="1276" w:right="616"/>
        <w:contextualSpacing/>
        <w:jc w:val="both"/>
        <w:rPr>
          <w:rFonts w:ascii="Arial" w:eastAsia="Calibri" w:hAnsi="Arial" w:cs="Arial"/>
          <w:i/>
          <w:sz w:val="22"/>
          <w:szCs w:val="22"/>
          <w:lang w:val="es-CR" w:eastAsia="en-US"/>
        </w:rPr>
      </w:pPr>
      <w:r w:rsidRPr="008F4624">
        <w:rPr>
          <w:rFonts w:ascii="Arial" w:eastAsia="Calibri" w:hAnsi="Arial" w:cs="Arial"/>
          <w:i/>
          <w:sz w:val="22"/>
          <w:szCs w:val="22"/>
          <w:lang w:val="es-CR" w:eastAsia="en-US"/>
        </w:rPr>
        <w:t>El presupuesto se asignará de manera paulatina hasta alcanzar para el año 2018 el monto de 100 millones de colones vía transferencia a la FEITEC.</w:t>
      </w:r>
    </w:p>
    <w:p w:rsidR="008F4624" w:rsidRPr="008F4624" w:rsidRDefault="008F4624" w:rsidP="008F4624">
      <w:pPr>
        <w:tabs>
          <w:tab w:val="left" w:pos="284"/>
        </w:tabs>
        <w:ind w:left="1276" w:right="616"/>
        <w:contextualSpacing/>
        <w:jc w:val="both"/>
        <w:rPr>
          <w:rFonts w:ascii="Arial" w:eastAsia="Calibri" w:hAnsi="Arial" w:cs="Arial"/>
          <w:i/>
          <w:sz w:val="16"/>
          <w:szCs w:val="16"/>
          <w:lang w:val="es-CR" w:eastAsia="en-US"/>
        </w:rPr>
      </w:pPr>
    </w:p>
    <w:p w:rsidR="008F4624" w:rsidRPr="008F4624" w:rsidRDefault="008F4624" w:rsidP="008F4624">
      <w:pPr>
        <w:numPr>
          <w:ilvl w:val="0"/>
          <w:numId w:val="32"/>
        </w:numPr>
        <w:tabs>
          <w:tab w:val="left" w:pos="284"/>
        </w:tabs>
        <w:ind w:left="1276" w:right="616"/>
        <w:contextualSpacing/>
        <w:jc w:val="both"/>
        <w:rPr>
          <w:rFonts w:ascii="Arial" w:eastAsia="Calibri" w:hAnsi="Arial" w:cs="Arial"/>
          <w:i/>
          <w:sz w:val="22"/>
          <w:szCs w:val="22"/>
          <w:lang w:val="es-CR" w:eastAsia="en-US"/>
        </w:rPr>
      </w:pPr>
      <w:r w:rsidRPr="008F4624">
        <w:rPr>
          <w:rFonts w:ascii="Arial" w:eastAsia="Calibri" w:hAnsi="Arial" w:cs="Arial"/>
          <w:i/>
          <w:sz w:val="22"/>
          <w:szCs w:val="22"/>
          <w:lang w:val="es-CR" w:eastAsia="en-US"/>
        </w:rPr>
        <w:t xml:space="preserve">Se ha considerado para esta asignación presupuestaria, el “Acuerdo entre los candidatos a Rector del ITCR 2011-2015 y las Asociaciones de Estudiantes en conjunto con el Consejo Ejecutivo Electo </w:t>
      </w:r>
      <w:proofErr w:type="gramStart"/>
      <w:r w:rsidRPr="008F4624">
        <w:rPr>
          <w:rFonts w:ascii="Arial" w:eastAsia="Calibri" w:hAnsi="Arial" w:cs="Arial"/>
          <w:i/>
          <w:sz w:val="22"/>
          <w:szCs w:val="22"/>
          <w:lang w:val="es-CR" w:eastAsia="en-US"/>
        </w:rPr>
        <w:t>( 2011</w:t>
      </w:r>
      <w:proofErr w:type="gramEnd"/>
      <w:r w:rsidRPr="008F4624">
        <w:rPr>
          <w:rFonts w:ascii="Arial" w:eastAsia="Calibri" w:hAnsi="Arial" w:cs="Arial"/>
          <w:i/>
          <w:sz w:val="22"/>
          <w:szCs w:val="22"/>
          <w:lang w:val="es-CR" w:eastAsia="en-US"/>
        </w:rPr>
        <w:t>-2012) de la Federación de Estudiantes del ITCR ” y las posibilidades presupuestarias del ITCR.</w:t>
      </w:r>
    </w:p>
    <w:p w:rsidR="008F4624" w:rsidRPr="008F4624" w:rsidRDefault="008F4624" w:rsidP="008F4624">
      <w:pPr>
        <w:numPr>
          <w:ilvl w:val="0"/>
          <w:numId w:val="32"/>
        </w:numPr>
        <w:tabs>
          <w:tab w:val="left" w:pos="284"/>
        </w:tabs>
        <w:ind w:left="1276" w:right="616"/>
        <w:contextualSpacing/>
        <w:jc w:val="both"/>
        <w:rPr>
          <w:rFonts w:ascii="Arial" w:eastAsia="Calibri" w:hAnsi="Arial" w:cs="Arial"/>
          <w:b/>
          <w:i/>
          <w:sz w:val="22"/>
          <w:szCs w:val="22"/>
          <w:lang w:val="es-CR" w:eastAsia="en-US"/>
        </w:rPr>
      </w:pPr>
      <w:r w:rsidRPr="008F4624">
        <w:rPr>
          <w:rFonts w:ascii="Arial" w:eastAsia="Calibri" w:hAnsi="Arial" w:cs="Arial"/>
          <w:b/>
          <w:i/>
          <w:sz w:val="22"/>
          <w:szCs w:val="22"/>
          <w:lang w:val="es-CR" w:eastAsia="en-US"/>
        </w:rPr>
        <w:t xml:space="preserve">A partir del año 2019, el porcentaje de crecimiento del presupuesto será el mismo porcentaje que el declarado por el Banco Central de Costa Rica como índice inflacionario del país, en todos los rubros asignados a la FEITEC. </w:t>
      </w:r>
    </w:p>
    <w:p w:rsidR="008F4624" w:rsidRPr="008F4624" w:rsidRDefault="008F4624" w:rsidP="008F4624">
      <w:pPr>
        <w:numPr>
          <w:ilvl w:val="0"/>
          <w:numId w:val="32"/>
        </w:numPr>
        <w:tabs>
          <w:tab w:val="left" w:pos="284"/>
        </w:tabs>
        <w:ind w:left="1276" w:right="616"/>
        <w:contextualSpacing/>
        <w:jc w:val="both"/>
        <w:rPr>
          <w:rFonts w:ascii="Arial" w:eastAsia="Calibri" w:hAnsi="Arial" w:cs="Arial"/>
          <w:b/>
          <w:i/>
          <w:sz w:val="22"/>
          <w:szCs w:val="22"/>
          <w:lang w:val="es-CR" w:eastAsia="en-US"/>
        </w:rPr>
      </w:pPr>
      <w:r w:rsidRPr="008F4624">
        <w:rPr>
          <w:rFonts w:ascii="Arial" w:eastAsia="Calibri" w:hAnsi="Arial" w:cs="Arial"/>
          <w:b/>
          <w:i/>
          <w:sz w:val="22"/>
          <w:szCs w:val="22"/>
          <w:lang w:val="es-CR" w:eastAsia="en-US"/>
        </w:rPr>
        <w:t xml:space="preserve">La Vicerrectoría de Vida Estudiantil y Servicios Académicos, continuará otorgando el presupuesto destinado para el desarrollo del FESTEC y lo correspondiente para la atención de gastos de viaje Representación Estudiantil Oficial. </w:t>
      </w:r>
    </w:p>
    <w:p w:rsidR="008F4624" w:rsidRPr="008F4624" w:rsidRDefault="008F4624" w:rsidP="008F4624">
      <w:pPr>
        <w:numPr>
          <w:ilvl w:val="0"/>
          <w:numId w:val="32"/>
        </w:numPr>
        <w:tabs>
          <w:tab w:val="left" w:pos="284"/>
        </w:tabs>
        <w:ind w:left="1276" w:right="616"/>
        <w:contextualSpacing/>
        <w:jc w:val="both"/>
        <w:rPr>
          <w:rFonts w:ascii="Arial" w:eastAsia="Calibri" w:hAnsi="Arial" w:cs="Arial"/>
          <w:i/>
          <w:sz w:val="22"/>
          <w:szCs w:val="22"/>
          <w:lang w:val="es-CR" w:eastAsia="en-US"/>
        </w:rPr>
      </w:pPr>
      <w:r w:rsidRPr="008F4624">
        <w:rPr>
          <w:rFonts w:ascii="Arial" w:eastAsia="Calibri" w:hAnsi="Arial" w:cs="Arial"/>
          <w:i/>
          <w:sz w:val="22"/>
          <w:szCs w:val="22"/>
          <w:lang w:val="es-CR" w:eastAsia="en-US"/>
        </w:rPr>
        <w:t>Solicitar a la FEITEC que implemente mecanismos de control presupuestarios aptos para un adecuado uso de los recursos asignados, así como el establecimiento del sistema contable que permita la elaboración de los estados financieros oportunamente.’’</w:t>
      </w:r>
    </w:p>
    <w:p w:rsidR="008F4624" w:rsidRPr="008F4624" w:rsidRDefault="008F4624" w:rsidP="008F4624">
      <w:pPr>
        <w:ind w:left="1232"/>
        <w:contextualSpacing/>
        <w:rPr>
          <w:rFonts w:ascii="Arial" w:eastAsia="Calibri" w:hAnsi="Arial" w:cs="Arial"/>
          <w:b/>
          <w:i/>
          <w:sz w:val="22"/>
          <w:szCs w:val="22"/>
          <w:u w:val="single"/>
          <w:lang w:eastAsia="en-US"/>
        </w:rPr>
      </w:pPr>
      <w:r w:rsidRPr="008F4624">
        <w:rPr>
          <w:rFonts w:ascii="Arial" w:eastAsia="Calibri" w:hAnsi="Arial" w:cs="Arial"/>
          <w:b/>
          <w:i/>
          <w:sz w:val="22"/>
          <w:szCs w:val="22"/>
          <w:u w:val="single"/>
          <w:lang w:eastAsia="en-US"/>
        </w:rPr>
        <w:t xml:space="preserve">El resaltado no es del original. </w:t>
      </w:r>
    </w:p>
    <w:p w:rsidR="008F4624" w:rsidRPr="008F4624" w:rsidRDefault="008F4624" w:rsidP="008F4624">
      <w:pPr>
        <w:ind w:left="720"/>
        <w:contextualSpacing/>
        <w:jc w:val="both"/>
        <w:rPr>
          <w:rFonts w:ascii="Calibri" w:eastAsia="Calibri" w:hAnsi="Calibri"/>
          <w:sz w:val="22"/>
          <w:szCs w:val="22"/>
          <w:lang w:val="es-CR" w:eastAsia="en-US"/>
        </w:rPr>
      </w:pPr>
    </w:p>
    <w:p w:rsidR="008F4624" w:rsidRPr="008F4624" w:rsidRDefault="008F4624" w:rsidP="008F4624">
      <w:pPr>
        <w:numPr>
          <w:ilvl w:val="0"/>
          <w:numId w:val="34"/>
        </w:numPr>
        <w:ind w:left="709" w:hanging="357"/>
        <w:jc w:val="both"/>
        <w:rPr>
          <w:rFonts w:ascii="Arial" w:eastAsia="Calibri" w:hAnsi="Arial" w:cs="Arial"/>
          <w:lang w:val="es-CR" w:eastAsia="es-CR"/>
        </w:rPr>
      </w:pPr>
      <w:r w:rsidRPr="008F4624">
        <w:rPr>
          <w:rFonts w:ascii="Arial" w:eastAsia="Calibri" w:hAnsi="Arial" w:cs="Arial"/>
          <w:lang w:val="es-CR" w:eastAsia="es-CR"/>
        </w:rPr>
        <w:t>El Consejo Institucional, en Sesión Ordinaria No. 2943, Artículo 10, del 21 de octubre de 2015.  “Solicitud de formulación presupuestaria FEITEC, a partir del periodo 2016, sobre el FEES Institucional, para el fortalecimiento de las actividades realizadas por la FEITEC”, aprobó:</w:t>
      </w:r>
    </w:p>
    <w:p w:rsidR="008F4624" w:rsidRPr="008F4624" w:rsidRDefault="008F4624" w:rsidP="008F4624">
      <w:pPr>
        <w:autoSpaceDE w:val="0"/>
        <w:autoSpaceDN w:val="0"/>
        <w:adjustRightInd w:val="0"/>
        <w:spacing w:before="120"/>
        <w:ind w:left="1276" w:right="476" w:hanging="289"/>
        <w:jc w:val="both"/>
        <w:rPr>
          <w:rFonts w:ascii="Arial" w:eastAsia="Calibri" w:hAnsi="Arial" w:cs="Arial"/>
          <w:i/>
          <w:sz w:val="22"/>
          <w:szCs w:val="22"/>
          <w:lang w:val="es-CR" w:eastAsia="en-US"/>
        </w:rPr>
      </w:pPr>
      <w:r w:rsidRPr="008F4624">
        <w:rPr>
          <w:rFonts w:ascii="Arial" w:eastAsia="Calibri" w:hAnsi="Arial" w:cs="Arial"/>
          <w:i/>
          <w:sz w:val="22"/>
          <w:szCs w:val="22"/>
          <w:lang w:val="es-CR" w:eastAsia="en-US"/>
        </w:rPr>
        <w:t xml:space="preserve">“a. </w:t>
      </w:r>
      <w:r w:rsidRPr="008F4624">
        <w:rPr>
          <w:rFonts w:ascii="Arial" w:eastAsia="Calibri" w:hAnsi="Arial" w:cs="Arial"/>
          <w:i/>
          <w:sz w:val="22"/>
          <w:szCs w:val="22"/>
          <w:lang w:val="es-CR" w:eastAsia="en-US"/>
        </w:rPr>
        <w:tab/>
        <w:t xml:space="preserve"> Aumentar el presupuesto asignado a la Federación de Estudiantes del Tecnológico iniciando con un monto de 0.15% sobre el FEES institucional para el año 2016, manteniendo los aportes de festivales y representación estudiantil oficial para viajes al exterior en el FSDE, según solicitud de la FEITEC, en los siguientes términos:</w:t>
      </w:r>
    </w:p>
    <w:p w:rsidR="008F4624" w:rsidRPr="008F4624" w:rsidRDefault="008F4624" w:rsidP="008F4624">
      <w:pPr>
        <w:autoSpaceDE w:val="0"/>
        <w:autoSpaceDN w:val="0"/>
        <w:adjustRightInd w:val="0"/>
        <w:spacing w:before="120"/>
        <w:ind w:left="1843" w:right="476" w:hanging="567"/>
        <w:jc w:val="both"/>
        <w:rPr>
          <w:rFonts w:ascii="Arial" w:eastAsia="Calibri" w:hAnsi="Arial" w:cs="Arial"/>
          <w:i/>
          <w:sz w:val="22"/>
          <w:szCs w:val="22"/>
          <w:lang w:val="es-CR" w:eastAsia="en-US"/>
        </w:rPr>
      </w:pPr>
      <w:r w:rsidRPr="008F4624">
        <w:rPr>
          <w:rFonts w:ascii="Arial" w:eastAsia="Calibri" w:hAnsi="Arial" w:cs="Arial"/>
          <w:i/>
          <w:sz w:val="22"/>
          <w:szCs w:val="22"/>
          <w:lang w:val="es-CR" w:eastAsia="en-US"/>
        </w:rPr>
        <w:t>a.1. Para el año 2016 este presupuesto estará constituido por los recursos provenientes de las cuotas correspondientes a los derechos de matrículas, las cuales se incrementarán de manera ordinaria y los aportes adicionales de la institución según lo establecido en artículo 109 del estatuto Orgánico.</w:t>
      </w:r>
    </w:p>
    <w:p w:rsidR="008F4624" w:rsidRPr="008F4624" w:rsidRDefault="008F4624" w:rsidP="008F4624">
      <w:pPr>
        <w:autoSpaceDE w:val="0"/>
        <w:autoSpaceDN w:val="0"/>
        <w:adjustRightInd w:val="0"/>
        <w:spacing w:before="120"/>
        <w:ind w:left="1843" w:right="476" w:hanging="567"/>
        <w:jc w:val="both"/>
        <w:rPr>
          <w:rFonts w:ascii="Arial" w:eastAsia="Calibri" w:hAnsi="Arial" w:cs="Arial"/>
          <w:i/>
          <w:sz w:val="22"/>
          <w:szCs w:val="22"/>
          <w:lang w:val="es-CR" w:eastAsia="en-US"/>
        </w:rPr>
      </w:pPr>
      <w:r w:rsidRPr="008F4624">
        <w:rPr>
          <w:rFonts w:ascii="Arial" w:eastAsia="Calibri" w:hAnsi="Arial" w:cs="Arial"/>
          <w:i/>
          <w:sz w:val="22"/>
          <w:szCs w:val="22"/>
          <w:lang w:val="es-CR" w:eastAsia="en-US"/>
        </w:rPr>
        <w:t>a.2.</w:t>
      </w:r>
      <w:r w:rsidRPr="008F4624">
        <w:rPr>
          <w:rFonts w:ascii="Arial" w:eastAsia="Calibri" w:hAnsi="Arial" w:cs="Arial"/>
          <w:i/>
          <w:sz w:val="22"/>
          <w:szCs w:val="22"/>
          <w:lang w:val="es-CR" w:eastAsia="en-US"/>
        </w:rPr>
        <w:tab/>
        <w:t>Los aumentos sobre la base anterior deberán ser definidos por el Consejo Institucional según propuesta consensuada entre la FEITEC y la Administración.</w:t>
      </w:r>
    </w:p>
    <w:p w:rsidR="008F4624" w:rsidRPr="008F4624" w:rsidRDefault="008F4624" w:rsidP="008F4624">
      <w:pPr>
        <w:autoSpaceDE w:val="0"/>
        <w:autoSpaceDN w:val="0"/>
        <w:adjustRightInd w:val="0"/>
        <w:spacing w:before="120"/>
        <w:ind w:left="1843" w:right="476" w:hanging="567"/>
        <w:jc w:val="both"/>
        <w:rPr>
          <w:rFonts w:ascii="Arial" w:eastAsia="Calibri" w:hAnsi="Arial" w:cs="Arial"/>
          <w:i/>
          <w:strike/>
          <w:sz w:val="22"/>
          <w:szCs w:val="22"/>
          <w:lang w:val="es-CR" w:eastAsia="en-US"/>
        </w:rPr>
      </w:pPr>
      <w:r w:rsidRPr="008F4624">
        <w:rPr>
          <w:rFonts w:ascii="Arial" w:eastAsia="Calibri" w:hAnsi="Arial" w:cs="Arial"/>
          <w:i/>
          <w:sz w:val="22"/>
          <w:szCs w:val="22"/>
          <w:lang w:val="es-CR" w:eastAsia="en-US"/>
        </w:rPr>
        <w:t>a.3. Para futuros aumentos de presupuesto se solicitará a la Administración el acompañamiento técnico a la FEITEC para la formulación y ejecución idónea del mismo.</w:t>
      </w:r>
    </w:p>
    <w:p w:rsidR="008F4624" w:rsidRPr="008F4624" w:rsidRDefault="008F4624" w:rsidP="008F4624">
      <w:pPr>
        <w:autoSpaceDE w:val="0"/>
        <w:autoSpaceDN w:val="0"/>
        <w:adjustRightInd w:val="0"/>
        <w:spacing w:before="120"/>
        <w:ind w:left="1276" w:right="476" w:hanging="289"/>
        <w:jc w:val="both"/>
        <w:rPr>
          <w:rFonts w:ascii="Arial" w:eastAsia="Calibri" w:hAnsi="Arial" w:cs="Arial"/>
          <w:i/>
          <w:sz w:val="22"/>
          <w:szCs w:val="22"/>
          <w:lang w:val="es-CR" w:eastAsia="en-US"/>
        </w:rPr>
      </w:pPr>
      <w:r w:rsidRPr="008F4624">
        <w:rPr>
          <w:rFonts w:ascii="Arial" w:eastAsia="Calibri" w:hAnsi="Arial" w:cs="Arial"/>
          <w:i/>
          <w:sz w:val="22"/>
          <w:szCs w:val="22"/>
          <w:lang w:val="es-CR" w:eastAsia="en-US"/>
        </w:rPr>
        <w:t xml:space="preserve">b.  Solicitar a la Auditoría Interna genere una asesoría, sobre los procedimientos y controles financieros actuales de la FEITEC, </w:t>
      </w:r>
      <w:proofErr w:type="gramStart"/>
      <w:r w:rsidRPr="008F4624">
        <w:rPr>
          <w:rFonts w:ascii="Arial" w:eastAsia="Calibri" w:hAnsi="Arial" w:cs="Arial"/>
          <w:i/>
          <w:sz w:val="22"/>
          <w:szCs w:val="22"/>
          <w:lang w:val="es-CR" w:eastAsia="en-US"/>
        </w:rPr>
        <w:t>para  mejorar</w:t>
      </w:r>
      <w:proofErr w:type="gramEnd"/>
      <w:r w:rsidRPr="008F4624">
        <w:rPr>
          <w:rFonts w:ascii="Arial" w:eastAsia="Calibri" w:hAnsi="Arial" w:cs="Arial"/>
          <w:i/>
          <w:sz w:val="22"/>
          <w:szCs w:val="22"/>
          <w:lang w:val="es-CR" w:eastAsia="en-US"/>
        </w:rPr>
        <w:t xml:space="preserve"> la gestión financiera del nuevo presupuesto.</w:t>
      </w:r>
    </w:p>
    <w:p w:rsidR="008F4624" w:rsidRPr="008F4624" w:rsidRDefault="008F4624" w:rsidP="008F4624">
      <w:pPr>
        <w:autoSpaceDE w:val="0"/>
        <w:autoSpaceDN w:val="0"/>
        <w:adjustRightInd w:val="0"/>
        <w:spacing w:before="120"/>
        <w:ind w:left="1276" w:right="476" w:hanging="289"/>
        <w:jc w:val="both"/>
        <w:rPr>
          <w:rFonts w:ascii="Arial" w:eastAsia="Calibri" w:hAnsi="Arial" w:cs="Arial"/>
          <w:i/>
          <w:sz w:val="22"/>
          <w:szCs w:val="22"/>
          <w:lang w:val="es-CR" w:eastAsia="en-US"/>
        </w:rPr>
      </w:pPr>
      <w:r w:rsidRPr="008F4624">
        <w:rPr>
          <w:rFonts w:ascii="Arial" w:eastAsia="Calibri" w:hAnsi="Arial" w:cs="Arial"/>
          <w:i/>
          <w:sz w:val="22"/>
          <w:szCs w:val="22"/>
          <w:lang w:val="es-CR" w:eastAsia="en-US"/>
        </w:rPr>
        <w:t>c.  Comunicar.  ACUERDO FIRME.”</w:t>
      </w:r>
    </w:p>
    <w:p w:rsidR="008F4624" w:rsidRPr="008F4624" w:rsidRDefault="008F4624" w:rsidP="008F4624">
      <w:pPr>
        <w:ind w:left="334"/>
        <w:jc w:val="both"/>
        <w:rPr>
          <w:rFonts w:ascii="Arial" w:eastAsia="Calibri" w:hAnsi="Arial" w:cs="Arial"/>
          <w:sz w:val="16"/>
          <w:szCs w:val="16"/>
          <w:lang w:val="es-CR" w:eastAsia="en-US"/>
        </w:rPr>
      </w:pPr>
    </w:p>
    <w:p w:rsidR="008F4624" w:rsidRPr="008F4624" w:rsidRDefault="008F4624" w:rsidP="008F4624">
      <w:pPr>
        <w:numPr>
          <w:ilvl w:val="0"/>
          <w:numId w:val="34"/>
        </w:numPr>
        <w:ind w:left="709" w:hanging="357"/>
        <w:jc w:val="both"/>
        <w:rPr>
          <w:rFonts w:ascii="Arial" w:eastAsia="Calibri" w:hAnsi="Arial" w:cs="Arial"/>
          <w:lang w:val="es-CR" w:eastAsia="es-CR"/>
        </w:rPr>
      </w:pPr>
      <w:r w:rsidRPr="008F4624">
        <w:rPr>
          <w:rFonts w:ascii="Arial" w:eastAsia="Calibri" w:hAnsi="Arial" w:cs="Arial"/>
          <w:lang w:val="es-CR" w:eastAsia="es-CR"/>
        </w:rPr>
        <w:lastRenderedPageBreak/>
        <w:t xml:space="preserve">En la Sesión Ordinaria No. 3089, Artículo 8, del 25 de setiembre de 2018. Asignación de recursos a la Federación de Estudiantes del ITCR –FEITEC- dentro del Plan-Presupuesto 2019, se acordó: </w:t>
      </w:r>
    </w:p>
    <w:p w:rsidR="008F4624" w:rsidRPr="008F4624" w:rsidRDefault="008F4624" w:rsidP="008F4624">
      <w:pPr>
        <w:ind w:left="334"/>
        <w:jc w:val="both"/>
        <w:rPr>
          <w:rFonts w:ascii="Arial" w:eastAsia="Calibri" w:hAnsi="Arial" w:cs="Arial"/>
          <w:sz w:val="16"/>
          <w:szCs w:val="16"/>
          <w:lang w:val="es-CR" w:eastAsia="en-US"/>
        </w:rPr>
      </w:pPr>
    </w:p>
    <w:p w:rsidR="008F4624" w:rsidRPr="008F4624" w:rsidRDefault="008F4624" w:rsidP="008F4624">
      <w:pPr>
        <w:ind w:left="1134" w:right="191" w:hanging="567"/>
        <w:jc w:val="both"/>
        <w:rPr>
          <w:rFonts w:ascii="Arial" w:eastAsia="Calibri" w:hAnsi="Arial" w:cs="Arial"/>
          <w:i/>
          <w:sz w:val="22"/>
          <w:szCs w:val="22"/>
          <w:lang w:val="es-CR" w:eastAsia="en-US"/>
        </w:rPr>
      </w:pPr>
      <w:r w:rsidRPr="008F4624">
        <w:rPr>
          <w:rFonts w:ascii="Arial" w:eastAsia="Calibri" w:hAnsi="Arial" w:cs="Arial"/>
          <w:i/>
          <w:sz w:val="22"/>
          <w:szCs w:val="22"/>
          <w:lang w:val="es-CR" w:eastAsia="en-US"/>
        </w:rPr>
        <w:t>“a.  Autorizar un presupuesto de ¢117.756,250 (Ciento diecisiete millones setecientos cincuenta y seis mil doscientos cincuenta colones) para el año 2019, respaldado en el mutuo acuerdo, asignados a la FEITEC y distribuidos de la siguiente manera:</w:t>
      </w:r>
    </w:p>
    <w:p w:rsidR="008F4624" w:rsidRPr="008F4624" w:rsidRDefault="008F4624" w:rsidP="008F4624">
      <w:pPr>
        <w:ind w:left="1134" w:right="191" w:hanging="567"/>
        <w:jc w:val="both"/>
        <w:rPr>
          <w:rFonts w:ascii="Arial" w:eastAsia="Calibri" w:hAnsi="Arial" w:cs="Arial"/>
          <w:i/>
          <w:sz w:val="22"/>
          <w:szCs w:val="22"/>
          <w:lang w:eastAsia="en-US"/>
        </w:rPr>
      </w:pPr>
    </w:p>
    <w:p w:rsidR="008F4624" w:rsidRPr="008F4624" w:rsidRDefault="008F4624" w:rsidP="008F4624">
      <w:pPr>
        <w:rPr>
          <w:rFonts w:ascii="Arial" w:eastAsia="Calibri" w:hAnsi="Arial" w:cs="Arial"/>
          <w:i/>
          <w:sz w:val="22"/>
          <w:szCs w:val="22"/>
          <w:lang w:eastAsia="en-US"/>
        </w:rPr>
      </w:pPr>
    </w:p>
    <w:tbl>
      <w:tblPr>
        <w:tblW w:w="8185" w:type="dxa"/>
        <w:jc w:val="right"/>
        <w:tblCellMar>
          <w:left w:w="70" w:type="dxa"/>
          <w:right w:w="70" w:type="dxa"/>
        </w:tblCellMar>
        <w:tblLook w:val="04A0" w:firstRow="1" w:lastRow="0" w:firstColumn="1" w:lastColumn="0" w:noHBand="0" w:noVBand="1"/>
      </w:tblPr>
      <w:tblGrid>
        <w:gridCol w:w="662"/>
        <w:gridCol w:w="1923"/>
        <w:gridCol w:w="1793"/>
        <w:gridCol w:w="1884"/>
        <w:gridCol w:w="1923"/>
      </w:tblGrid>
      <w:tr w:rsidR="008F4624" w:rsidRPr="008F4624" w:rsidTr="00A14570">
        <w:trPr>
          <w:trHeight w:val="240"/>
          <w:jc w:val="right"/>
        </w:trPr>
        <w:tc>
          <w:tcPr>
            <w:tcW w:w="66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F4624" w:rsidRPr="008F4624" w:rsidRDefault="008F4624" w:rsidP="008F4624">
            <w:pPr>
              <w:jc w:val="center"/>
              <w:rPr>
                <w:rFonts w:ascii="Arial" w:eastAsia="Calibri" w:hAnsi="Arial" w:cs="Arial"/>
                <w:bCs/>
                <w:i/>
                <w:iCs/>
                <w:color w:val="000000"/>
                <w:sz w:val="22"/>
                <w:szCs w:val="22"/>
                <w:lang w:val="es-CR" w:eastAsia="es-CR"/>
              </w:rPr>
            </w:pPr>
            <w:r w:rsidRPr="008F4624">
              <w:rPr>
                <w:rFonts w:ascii="Arial" w:eastAsia="Calibri" w:hAnsi="Arial" w:cs="Arial"/>
                <w:bCs/>
                <w:i/>
                <w:iCs/>
                <w:color w:val="000000"/>
                <w:sz w:val="22"/>
                <w:szCs w:val="22"/>
                <w:lang w:val="es-CR" w:eastAsia="en-US"/>
              </w:rPr>
              <w:t>Año</w:t>
            </w:r>
          </w:p>
        </w:tc>
        <w:tc>
          <w:tcPr>
            <w:tcW w:w="192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F4624" w:rsidRPr="008F4624" w:rsidRDefault="008F4624" w:rsidP="008F4624">
            <w:pPr>
              <w:jc w:val="center"/>
              <w:rPr>
                <w:rFonts w:ascii="Arial" w:eastAsia="Calibri" w:hAnsi="Arial" w:cs="Arial"/>
                <w:bCs/>
                <w:i/>
                <w:iCs/>
                <w:color w:val="000000"/>
                <w:sz w:val="22"/>
                <w:szCs w:val="22"/>
                <w:lang w:val="es-CR" w:eastAsia="en-US"/>
              </w:rPr>
            </w:pPr>
            <w:r w:rsidRPr="008F4624">
              <w:rPr>
                <w:rFonts w:ascii="Arial" w:eastAsia="Calibri" w:hAnsi="Arial" w:cs="Arial"/>
                <w:bCs/>
                <w:i/>
                <w:iCs/>
                <w:color w:val="000000"/>
                <w:sz w:val="22"/>
                <w:szCs w:val="22"/>
                <w:lang w:val="es-CR" w:eastAsia="en-US"/>
              </w:rPr>
              <w:t>Monto de Transferencia</w:t>
            </w:r>
          </w:p>
        </w:tc>
        <w:tc>
          <w:tcPr>
            <w:tcW w:w="367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8F4624" w:rsidRPr="008F4624" w:rsidRDefault="008F4624" w:rsidP="008F4624">
            <w:pPr>
              <w:jc w:val="center"/>
              <w:rPr>
                <w:rFonts w:ascii="Arial" w:eastAsia="Calibri" w:hAnsi="Arial" w:cs="Arial"/>
                <w:bCs/>
                <w:i/>
                <w:iCs/>
                <w:color w:val="000000"/>
                <w:sz w:val="22"/>
                <w:szCs w:val="22"/>
                <w:lang w:val="es-CR" w:eastAsia="en-US"/>
              </w:rPr>
            </w:pPr>
            <w:r w:rsidRPr="008F4624">
              <w:rPr>
                <w:rFonts w:ascii="Arial" w:eastAsia="Calibri" w:hAnsi="Arial" w:cs="Arial"/>
                <w:bCs/>
                <w:i/>
                <w:iCs/>
                <w:color w:val="000000"/>
                <w:sz w:val="22"/>
                <w:szCs w:val="22"/>
                <w:lang w:val="es-CR" w:eastAsia="en-US"/>
              </w:rPr>
              <w:t>FSDE</w:t>
            </w:r>
          </w:p>
        </w:tc>
        <w:tc>
          <w:tcPr>
            <w:tcW w:w="192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F4624" w:rsidRPr="008F4624" w:rsidRDefault="008F4624" w:rsidP="008F4624">
            <w:pPr>
              <w:jc w:val="center"/>
              <w:rPr>
                <w:rFonts w:ascii="Arial" w:eastAsia="Calibri" w:hAnsi="Arial" w:cs="Arial"/>
                <w:bCs/>
                <w:i/>
                <w:iCs/>
                <w:color w:val="000000"/>
                <w:sz w:val="22"/>
                <w:szCs w:val="22"/>
                <w:lang w:val="es-CR" w:eastAsia="en-US"/>
              </w:rPr>
            </w:pPr>
            <w:r w:rsidRPr="008F4624">
              <w:rPr>
                <w:rFonts w:ascii="Arial" w:eastAsia="Calibri" w:hAnsi="Arial" w:cs="Arial"/>
                <w:bCs/>
                <w:i/>
                <w:iCs/>
                <w:color w:val="000000"/>
                <w:sz w:val="22"/>
                <w:szCs w:val="22"/>
                <w:lang w:val="es-CR" w:eastAsia="en-US"/>
              </w:rPr>
              <w:t>Total Presupuesto FEITEC</w:t>
            </w:r>
          </w:p>
        </w:tc>
      </w:tr>
      <w:tr w:rsidR="008F4624" w:rsidRPr="008F4624" w:rsidTr="00A14570">
        <w:trPr>
          <w:trHeight w:val="446"/>
          <w:jc w:val="right"/>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8F4624" w:rsidRPr="008F4624" w:rsidRDefault="008F4624" w:rsidP="008F4624">
            <w:pPr>
              <w:rPr>
                <w:rFonts w:ascii="Arial" w:eastAsia="Calibri" w:hAnsi="Arial" w:cs="Arial"/>
                <w:bCs/>
                <w:i/>
                <w:iCs/>
                <w:color w:val="000000"/>
                <w:sz w:val="22"/>
                <w:szCs w:val="22"/>
                <w:lang w:val="es-CR" w:eastAsia="en-US"/>
              </w:rPr>
            </w:pPr>
          </w:p>
        </w:tc>
        <w:tc>
          <w:tcPr>
            <w:tcW w:w="1923" w:type="dxa"/>
            <w:vMerge/>
            <w:tcBorders>
              <w:top w:val="single" w:sz="8" w:space="0" w:color="auto"/>
              <w:left w:val="single" w:sz="8" w:space="0" w:color="auto"/>
              <w:bottom w:val="single" w:sz="8" w:space="0" w:color="000000"/>
              <w:right w:val="single" w:sz="8" w:space="0" w:color="auto"/>
            </w:tcBorders>
            <w:vAlign w:val="center"/>
            <w:hideMark/>
          </w:tcPr>
          <w:p w:rsidR="008F4624" w:rsidRPr="008F4624" w:rsidRDefault="008F4624" w:rsidP="008F4624">
            <w:pPr>
              <w:rPr>
                <w:rFonts w:ascii="Arial" w:eastAsia="Calibri" w:hAnsi="Arial" w:cs="Arial"/>
                <w:bCs/>
                <w:i/>
                <w:iCs/>
                <w:color w:val="000000"/>
                <w:sz w:val="22"/>
                <w:szCs w:val="22"/>
                <w:lang w:val="es-CR" w:eastAsia="en-US"/>
              </w:rPr>
            </w:pPr>
          </w:p>
        </w:tc>
        <w:tc>
          <w:tcPr>
            <w:tcW w:w="1793" w:type="dxa"/>
            <w:tcBorders>
              <w:top w:val="nil"/>
              <w:left w:val="nil"/>
              <w:bottom w:val="single" w:sz="8" w:space="0" w:color="auto"/>
              <w:right w:val="single" w:sz="8" w:space="0" w:color="auto"/>
            </w:tcBorders>
            <w:shd w:val="clear" w:color="auto" w:fill="auto"/>
            <w:noWrap/>
            <w:vAlign w:val="center"/>
            <w:hideMark/>
          </w:tcPr>
          <w:p w:rsidR="008F4624" w:rsidRPr="008F4624" w:rsidRDefault="008F4624" w:rsidP="008F4624">
            <w:pPr>
              <w:jc w:val="center"/>
              <w:rPr>
                <w:rFonts w:ascii="Arial" w:eastAsia="Calibri" w:hAnsi="Arial" w:cs="Arial"/>
                <w:bCs/>
                <w:i/>
                <w:iCs/>
                <w:color w:val="000000"/>
                <w:sz w:val="22"/>
                <w:szCs w:val="22"/>
                <w:lang w:val="es-CR" w:eastAsia="en-US"/>
              </w:rPr>
            </w:pPr>
            <w:r w:rsidRPr="008F4624">
              <w:rPr>
                <w:rFonts w:ascii="Arial" w:eastAsia="Calibri" w:hAnsi="Arial" w:cs="Arial"/>
                <w:bCs/>
                <w:i/>
                <w:iCs/>
                <w:color w:val="000000"/>
                <w:sz w:val="22"/>
                <w:szCs w:val="22"/>
                <w:lang w:val="es-CR" w:eastAsia="en-US"/>
              </w:rPr>
              <w:t>FESTEC</w:t>
            </w:r>
          </w:p>
        </w:tc>
        <w:tc>
          <w:tcPr>
            <w:tcW w:w="1883" w:type="dxa"/>
            <w:tcBorders>
              <w:top w:val="nil"/>
              <w:left w:val="nil"/>
              <w:bottom w:val="single" w:sz="8" w:space="0" w:color="auto"/>
              <w:right w:val="nil"/>
            </w:tcBorders>
            <w:shd w:val="clear" w:color="000000" w:fill="FFFFFF"/>
            <w:vAlign w:val="center"/>
            <w:hideMark/>
          </w:tcPr>
          <w:p w:rsidR="008F4624" w:rsidRPr="008F4624" w:rsidRDefault="008F4624" w:rsidP="008F4624">
            <w:pPr>
              <w:jc w:val="center"/>
              <w:rPr>
                <w:rFonts w:ascii="Arial" w:eastAsia="Calibri" w:hAnsi="Arial" w:cs="Arial"/>
                <w:bCs/>
                <w:i/>
                <w:iCs/>
                <w:color w:val="000000"/>
                <w:sz w:val="22"/>
                <w:szCs w:val="22"/>
                <w:lang w:val="es-CR" w:eastAsia="en-US"/>
              </w:rPr>
            </w:pPr>
            <w:r w:rsidRPr="008F4624">
              <w:rPr>
                <w:rFonts w:ascii="Arial" w:eastAsia="Calibri" w:hAnsi="Arial" w:cs="Arial"/>
                <w:bCs/>
                <w:i/>
                <w:iCs/>
                <w:color w:val="000000"/>
                <w:sz w:val="22"/>
                <w:szCs w:val="22"/>
                <w:lang w:val="es-CR" w:eastAsia="en-US"/>
              </w:rPr>
              <w:t>Viajes Representación Estudiantil</w:t>
            </w:r>
          </w:p>
        </w:tc>
        <w:tc>
          <w:tcPr>
            <w:tcW w:w="1923" w:type="dxa"/>
            <w:vMerge/>
            <w:tcBorders>
              <w:top w:val="single" w:sz="8" w:space="0" w:color="auto"/>
              <w:left w:val="single" w:sz="8" w:space="0" w:color="auto"/>
              <w:bottom w:val="single" w:sz="8" w:space="0" w:color="000000"/>
              <w:right w:val="single" w:sz="8" w:space="0" w:color="auto"/>
            </w:tcBorders>
            <w:vAlign w:val="center"/>
            <w:hideMark/>
          </w:tcPr>
          <w:p w:rsidR="008F4624" w:rsidRPr="008F4624" w:rsidRDefault="008F4624" w:rsidP="008F4624">
            <w:pPr>
              <w:rPr>
                <w:rFonts w:ascii="Arial" w:eastAsia="Calibri" w:hAnsi="Arial" w:cs="Arial"/>
                <w:bCs/>
                <w:i/>
                <w:iCs/>
                <w:color w:val="000000"/>
                <w:sz w:val="22"/>
                <w:szCs w:val="22"/>
                <w:lang w:val="es-CR" w:eastAsia="en-US"/>
              </w:rPr>
            </w:pPr>
          </w:p>
        </w:tc>
      </w:tr>
      <w:tr w:rsidR="008F4624" w:rsidRPr="008F4624" w:rsidTr="00A14570">
        <w:trPr>
          <w:trHeight w:val="240"/>
          <w:jc w:val="right"/>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8F4624" w:rsidRPr="008F4624" w:rsidRDefault="008F4624" w:rsidP="008F4624">
            <w:pPr>
              <w:jc w:val="center"/>
              <w:rPr>
                <w:rFonts w:ascii="Arial" w:eastAsia="Calibri" w:hAnsi="Arial" w:cs="Arial"/>
                <w:i/>
                <w:iCs/>
                <w:color w:val="000000"/>
                <w:sz w:val="22"/>
                <w:szCs w:val="22"/>
                <w:lang w:val="es-CR" w:eastAsia="en-US"/>
              </w:rPr>
            </w:pPr>
            <w:r w:rsidRPr="008F4624">
              <w:rPr>
                <w:rFonts w:ascii="Arial" w:eastAsia="Calibri" w:hAnsi="Arial" w:cs="Arial"/>
                <w:i/>
                <w:iCs/>
                <w:color w:val="000000"/>
                <w:sz w:val="22"/>
                <w:szCs w:val="22"/>
                <w:lang w:val="es-CR" w:eastAsia="en-US"/>
              </w:rPr>
              <w:t>2019</w:t>
            </w:r>
          </w:p>
        </w:tc>
        <w:tc>
          <w:tcPr>
            <w:tcW w:w="1923" w:type="dxa"/>
            <w:tcBorders>
              <w:top w:val="nil"/>
              <w:left w:val="nil"/>
              <w:bottom w:val="single" w:sz="8" w:space="0" w:color="auto"/>
              <w:right w:val="single" w:sz="8" w:space="0" w:color="auto"/>
            </w:tcBorders>
            <w:shd w:val="clear" w:color="auto" w:fill="auto"/>
            <w:noWrap/>
            <w:vAlign w:val="center"/>
            <w:hideMark/>
          </w:tcPr>
          <w:p w:rsidR="008F4624" w:rsidRPr="008F4624" w:rsidRDefault="008F4624" w:rsidP="008F4624">
            <w:pPr>
              <w:jc w:val="right"/>
              <w:rPr>
                <w:rFonts w:ascii="Arial" w:eastAsia="Calibri" w:hAnsi="Arial" w:cs="Arial"/>
                <w:i/>
                <w:iCs/>
                <w:color w:val="000000"/>
                <w:sz w:val="22"/>
                <w:szCs w:val="22"/>
                <w:lang w:val="es-CR" w:eastAsia="en-US"/>
              </w:rPr>
            </w:pPr>
            <w:r w:rsidRPr="008F4624">
              <w:rPr>
                <w:rFonts w:ascii="Arial" w:eastAsia="Calibri" w:hAnsi="Arial" w:cs="Arial"/>
                <w:i/>
                <w:iCs/>
                <w:color w:val="000000"/>
                <w:sz w:val="22"/>
                <w:szCs w:val="22"/>
                <w:lang w:val="es-CR" w:eastAsia="en-US"/>
              </w:rPr>
              <w:t xml:space="preserve">₡100.000.000,00 </w:t>
            </w:r>
          </w:p>
        </w:tc>
        <w:tc>
          <w:tcPr>
            <w:tcW w:w="1793" w:type="dxa"/>
            <w:tcBorders>
              <w:top w:val="nil"/>
              <w:left w:val="nil"/>
              <w:bottom w:val="single" w:sz="8" w:space="0" w:color="auto"/>
              <w:right w:val="single" w:sz="8" w:space="0" w:color="auto"/>
            </w:tcBorders>
            <w:shd w:val="clear" w:color="auto" w:fill="auto"/>
            <w:noWrap/>
            <w:vAlign w:val="center"/>
            <w:hideMark/>
          </w:tcPr>
          <w:p w:rsidR="008F4624" w:rsidRPr="008F4624" w:rsidRDefault="008F4624" w:rsidP="008F4624">
            <w:pPr>
              <w:jc w:val="right"/>
              <w:rPr>
                <w:rFonts w:ascii="Arial" w:eastAsia="Calibri" w:hAnsi="Arial" w:cs="Arial"/>
                <w:i/>
                <w:iCs/>
                <w:color w:val="000000"/>
                <w:sz w:val="22"/>
                <w:szCs w:val="22"/>
                <w:lang w:val="es-CR" w:eastAsia="en-US"/>
              </w:rPr>
            </w:pPr>
            <w:r w:rsidRPr="008F4624">
              <w:rPr>
                <w:rFonts w:ascii="Arial" w:eastAsia="Calibri" w:hAnsi="Arial" w:cs="Arial"/>
                <w:i/>
                <w:iCs/>
                <w:color w:val="000000"/>
                <w:sz w:val="22"/>
                <w:szCs w:val="22"/>
                <w:lang w:val="es-CR" w:eastAsia="en-US"/>
              </w:rPr>
              <w:t xml:space="preserve">₡15.000.000,00 </w:t>
            </w:r>
          </w:p>
        </w:tc>
        <w:tc>
          <w:tcPr>
            <w:tcW w:w="1883" w:type="dxa"/>
            <w:tcBorders>
              <w:top w:val="nil"/>
              <w:left w:val="nil"/>
              <w:bottom w:val="single" w:sz="8" w:space="0" w:color="auto"/>
              <w:right w:val="nil"/>
            </w:tcBorders>
            <w:shd w:val="clear" w:color="000000" w:fill="FFFFFF"/>
            <w:noWrap/>
            <w:vAlign w:val="center"/>
            <w:hideMark/>
          </w:tcPr>
          <w:p w:rsidR="008F4624" w:rsidRPr="008F4624" w:rsidRDefault="008F4624" w:rsidP="008F4624">
            <w:pPr>
              <w:jc w:val="right"/>
              <w:rPr>
                <w:rFonts w:ascii="Arial" w:eastAsia="Calibri" w:hAnsi="Arial" w:cs="Arial"/>
                <w:i/>
                <w:iCs/>
                <w:color w:val="000000"/>
                <w:sz w:val="22"/>
                <w:szCs w:val="22"/>
                <w:lang w:val="es-CR" w:eastAsia="en-US"/>
              </w:rPr>
            </w:pPr>
            <w:r w:rsidRPr="008F4624">
              <w:rPr>
                <w:rFonts w:ascii="Arial" w:eastAsia="Calibri" w:hAnsi="Arial" w:cs="Arial"/>
                <w:i/>
                <w:iCs/>
                <w:color w:val="000000"/>
                <w:sz w:val="22"/>
                <w:szCs w:val="22"/>
                <w:lang w:val="es-CR" w:eastAsia="en-US"/>
              </w:rPr>
              <w:t xml:space="preserve">₡2.756.250,00 </w:t>
            </w:r>
          </w:p>
        </w:tc>
        <w:tc>
          <w:tcPr>
            <w:tcW w:w="1923" w:type="dxa"/>
            <w:tcBorders>
              <w:top w:val="nil"/>
              <w:left w:val="single" w:sz="8" w:space="0" w:color="auto"/>
              <w:bottom w:val="single" w:sz="8" w:space="0" w:color="auto"/>
              <w:right w:val="single" w:sz="8" w:space="0" w:color="auto"/>
            </w:tcBorders>
            <w:shd w:val="clear" w:color="auto" w:fill="auto"/>
            <w:noWrap/>
            <w:vAlign w:val="center"/>
            <w:hideMark/>
          </w:tcPr>
          <w:p w:rsidR="008F4624" w:rsidRPr="008F4624" w:rsidRDefault="008F4624" w:rsidP="008F4624">
            <w:pPr>
              <w:jc w:val="right"/>
              <w:rPr>
                <w:rFonts w:ascii="Arial" w:eastAsia="Calibri" w:hAnsi="Arial" w:cs="Arial"/>
                <w:i/>
                <w:iCs/>
                <w:color w:val="000000"/>
                <w:sz w:val="22"/>
                <w:szCs w:val="22"/>
                <w:lang w:val="es-CR" w:eastAsia="en-US"/>
              </w:rPr>
            </w:pPr>
            <w:r w:rsidRPr="008F4624">
              <w:rPr>
                <w:rFonts w:ascii="Arial" w:eastAsia="Calibri" w:hAnsi="Arial" w:cs="Arial"/>
                <w:i/>
                <w:iCs/>
                <w:color w:val="000000"/>
                <w:sz w:val="22"/>
                <w:szCs w:val="22"/>
                <w:lang w:val="es-CR" w:eastAsia="en-US"/>
              </w:rPr>
              <w:t xml:space="preserve">₡117.756.250,00 </w:t>
            </w:r>
          </w:p>
        </w:tc>
      </w:tr>
    </w:tbl>
    <w:p w:rsidR="008F4624" w:rsidRPr="008F4624" w:rsidRDefault="008F4624" w:rsidP="008F4624">
      <w:pPr>
        <w:ind w:left="1276"/>
        <w:contextualSpacing/>
        <w:rPr>
          <w:rFonts w:ascii="Arial" w:eastAsia="Calibri" w:hAnsi="Arial" w:cs="Arial"/>
          <w:i/>
          <w:sz w:val="22"/>
          <w:szCs w:val="22"/>
          <w:lang w:val="es-CR" w:eastAsia="en-US"/>
        </w:rPr>
      </w:pPr>
    </w:p>
    <w:p w:rsidR="008F4624" w:rsidRPr="008F4624" w:rsidRDefault="008F4624" w:rsidP="008F4624">
      <w:pPr>
        <w:numPr>
          <w:ilvl w:val="0"/>
          <w:numId w:val="31"/>
        </w:numPr>
        <w:ind w:left="1276" w:hanging="142"/>
        <w:contextualSpacing/>
        <w:rPr>
          <w:rFonts w:ascii="Arial" w:eastAsia="Calibri" w:hAnsi="Arial" w:cs="Arial"/>
          <w:i/>
          <w:sz w:val="22"/>
          <w:szCs w:val="22"/>
          <w:lang w:val="es-CR" w:eastAsia="en-US"/>
        </w:rPr>
      </w:pPr>
      <w:r w:rsidRPr="008F4624">
        <w:rPr>
          <w:rFonts w:ascii="Arial" w:eastAsia="Calibri" w:hAnsi="Arial" w:cs="Arial"/>
          <w:i/>
          <w:sz w:val="22"/>
          <w:szCs w:val="22"/>
          <w:lang w:val="es-CR" w:eastAsia="en-US"/>
        </w:rPr>
        <w:t>Comunicar.  ACUERDO FIRME.”</w:t>
      </w:r>
    </w:p>
    <w:p w:rsidR="008F4624" w:rsidRPr="008F4624" w:rsidRDefault="008F4624" w:rsidP="008F4624">
      <w:pPr>
        <w:ind w:left="1276"/>
        <w:contextualSpacing/>
        <w:rPr>
          <w:rFonts w:ascii="Arial" w:eastAsia="Calibri" w:hAnsi="Arial" w:cs="Arial"/>
          <w:i/>
          <w:sz w:val="22"/>
          <w:szCs w:val="22"/>
          <w:lang w:val="es-CR" w:eastAsia="en-US"/>
        </w:rPr>
      </w:pPr>
    </w:p>
    <w:p w:rsidR="008F4624" w:rsidRPr="008F4624" w:rsidRDefault="008F4624" w:rsidP="008F4624">
      <w:pPr>
        <w:ind w:left="426"/>
        <w:contextualSpacing/>
        <w:jc w:val="both"/>
        <w:outlineLvl w:val="0"/>
        <w:rPr>
          <w:rFonts w:ascii="Arial" w:eastAsia="Calibri" w:hAnsi="Arial" w:cs="Arial"/>
          <w:b/>
          <w:i/>
          <w:lang w:val="es-CR" w:eastAsia="en-US"/>
        </w:rPr>
      </w:pPr>
      <w:r w:rsidRPr="008F4624">
        <w:rPr>
          <w:rFonts w:ascii="Arial" w:eastAsia="Calibri" w:hAnsi="Arial" w:cs="Arial"/>
          <w:b/>
          <w:lang w:val="es-CR" w:eastAsia="en-US"/>
        </w:rPr>
        <w:t>CONSIDERANDO QUE</w:t>
      </w:r>
      <w:r w:rsidRPr="008F4624">
        <w:rPr>
          <w:rFonts w:ascii="Arial" w:eastAsia="Calibri" w:hAnsi="Arial" w:cs="Arial"/>
          <w:b/>
          <w:i/>
          <w:lang w:val="es-CR" w:eastAsia="en-US"/>
        </w:rPr>
        <w:t>:</w:t>
      </w:r>
    </w:p>
    <w:p w:rsidR="008F4624" w:rsidRPr="008F4624" w:rsidRDefault="008F4624" w:rsidP="008F4624">
      <w:pPr>
        <w:rPr>
          <w:rFonts w:ascii="Arial" w:eastAsia="Calibri" w:hAnsi="Arial" w:cs="Arial"/>
          <w:b/>
          <w:sz w:val="22"/>
          <w:szCs w:val="22"/>
          <w:lang w:eastAsia="en-US"/>
        </w:rPr>
      </w:pPr>
    </w:p>
    <w:p w:rsidR="008F4624" w:rsidRPr="008F4624" w:rsidRDefault="008F4624" w:rsidP="008F4624">
      <w:pPr>
        <w:numPr>
          <w:ilvl w:val="0"/>
          <w:numId w:val="35"/>
        </w:numPr>
        <w:jc w:val="both"/>
        <w:rPr>
          <w:rFonts w:ascii="Arial" w:eastAsia="Calibri" w:hAnsi="Arial" w:cs="Arial"/>
          <w:lang w:val="es-CR" w:eastAsia="es-CR"/>
        </w:rPr>
      </w:pPr>
      <w:r w:rsidRPr="008F4624">
        <w:rPr>
          <w:rFonts w:ascii="Arial" w:eastAsia="Calibri" w:hAnsi="Arial" w:cs="Arial"/>
          <w:lang w:val="es-CR" w:eastAsia="es-CR"/>
        </w:rPr>
        <w:t>El acuerdo de la Sesión Ordinaria No. 2943, Artículo 10 del Consejo Institucional, no define los criterios para la asignación presupuestaria para la FEITEC, a partir del 2018.</w:t>
      </w:r>
    </w:p>
    <w:p w:rsidR="008F4624" w:rsidRPr="008F4624" w:rsidRDefault="008F4624" w:rsidP="008F4624">
      <w:pPr>
        <w:ind w:left="851"/>
        <w:contextualSpacing/>
        <w:jc w:val="both"/>
        <w:rPr>
          <w:rFonts w:ascii="Arial" w:eastAsia="Calibri" w:hAnsi="Arial" w:cs="Arial"/>
          <w:i/>
          <w:sz w:val="22"/>
          <w:szCs w:val="22"/>
          <w:lang w:eastAsia="en-US"/>
        </w:rPr>
      </w:pPr>
    </w:p>
    <w:p w:rsidR="008F4624" w:rsidRPr="008F4624" w:rsidRDefault="008F4624" w:rsidP="008F4624">
      <w:pPr>
        <w:numPr>
          <w:ilvl w:val="0"/>
          <w:numId w:val="35"/>
        </w:numPr>
        <w:jc w:val="both"/>
        <w:rPr>
          <w:rFonts w:ascii="Arial" w:eastAsia="Calibri" w:hAnsi="Arial" w:cs="Arial"/>
          <w:lang w:val="es-CR" w:eastAsia="es-CR"/>
        </w:rPr>
      </w:pPr>
      <w:r w:rsidRPr="008F4624">
        <w:rPr>
          <w:rFonts w:ascii="Arial" w:eastAsia="Calibri" w:hAnsi="Arial" w:cs="Arial"/>
          <w:lang w:val="es-CR" w:eastAsia="es-CR"/>
        </w:rPr>
        <w:t>Es de interés del Consejo Institucional seguir fortaleciendo el movimiento estudiantil.</w:t>
      </w:r>
    </w:p>
    <w:p w:rsidR="008F4624" w:rsidRPr="008F4624" w:rsidRDefault="008F4624" w:rsidP="008F4624">
      <w:pPr>
        <w:ind w:left="851"/>
        <w:contextualSpacing/>
        <w:jc w:val="both"/>
        <w:rPr>
          <w:rFonts w:ascii="Arial" w:eastAsia="Calibri" w:hAnsi="Arial" w:cs="Arial"/>
          <w:i/>
          <w:sz w:val="22"/>
          <w:szCs w:val="22"/>
          <w:lang w:eastAsia="en-US"/>
        </w:rPr>
      </w:pPr>
    </w:p>
    <w:p w:rsidR="008F4624" w:rsidRPr="008F4624" w:rsidRDefault="008F4624" w:rsidP="008F4624">
      <w:pPr>
        <w:numPr>
          <w:ilvl w:val="0"/>
          <w:numId w:val="35"/>
        </w:numPr>
        <w:jc w:val="both"/>
        <w:rPr>
          <w:rFonts w:ascii="Arial" w:eastAsia="Calibri" w:hAnsi="Arial" w:cs="Arial"/>
          <w:lang w:val="es-CR" w:eastAsia="es-CR"/>
        </w:rPr>
      </w:pPr>
      <w:r w:rsidRPr="008F4624">
        <w:rPr>
          <w:rFonts w:ascii="Arial" w:eastAsia="Calibri" w:hAnsi="Arial" w:cs="Arial"/>
          <w:lang w:val="es-CR" w:eastAsia="es-CR"/>
        </w:rPr>
        <w:t>La Comisión de Administración y Planificación en la sesión 789-2018 del 27 de setiembre del 2018 decide establecer el mecanismo de asignación de presupuesto, para la Federación de Estudiantes del ITCR y elevar la propuesta al Plenario.</w:t>
      </w:r>
    </w:p>
    <w:p w:rsidR="008F4624" w:rsidRPr="008F4624" w:rsidRDefault="008F4624" w:rsidP="008F4624">
      <w:pPr>
        <w:ind w:left="720"/>
        <w:contextualSpacing/>
        <w:rPr>
          <w:rFonts w:ascii="Arial" w:eastAsia="Calibri" w:hAnsi="Arial" w:cs="Arial"/>
          <w:sz w:val="22"/>
          <w:szCs w:val="22"/>
          <w:lang w:eastAsia="en-US"/>
        </w:rPr>
      </w:pPr>
    </w:p>
    <w:p w:rsidR="008F4624" w:rsidRPr="008F4624" w:rsidRDefault="008F4624" w:rsidP="008F4624">
      <w:pPr>
        <w:ind w:left="426"/>
        <w:contextualSpacing/>
        <w:jc w:val="both"/>
        <w:outlineLvl w:val="0"/>
        <w:rPr>
          <w:rFonts w:ascii="Arial" w:eastAsia="Calibri" w:hAnsi="Arial" w:cs="Arial"/>
          <w:b/>
          <w:lang w:val="es-CR" w:eastAsia="en-US"/>
        </w:rPr>
      </w:pPr>
      <w:r w:rsidRPr="008F4624">
        <w:rPr>
          <w:rFonts w:ascii="Arial" w:eastAsia="Calibri" w:hAnsi="Arial" w:cs="Arial"/>
          <w:b/>
          <w:lang w:val="es-CR" w:eastAsia="en-US"/>
        </w:rPr>
        <w:t>SE ACUERDA:</w:t>
      </w:r>
    </w:p>
    <w:p w:rsidR="008F4624" w:rsidRPr="008F4624" w:rsidRDefault="008F4624" w:rsidP="008F4624">
      <w:pPr>
        <w:rPr>
          <w:rFonts w:ascii="Arial" w:eastAsia="Calibri" w:hAnsi="Arial" w:cs="Arial"/>
          <w:b/>
          <w:sz w:val="22"/>
          <w:szCs w:val="22"/>
          <w:lang w:eastAsia="en-US"/>
        </w:rPr>
      </w:pPr>
    </w:p>
    <w:p w:rsidR="008F4624" w:rsidRPr="008F4624" w:rsidRDefault="008F4624" w:rsidP="008F4624">
      <w:pPr>
        <w:numPr>
          <w:ilvl w:val="0"/>
          <w:numId w:val="33"/>
        </w:numPr>
        <w:ind w:left="851"/>
        <w:contextualSpacing/>
        <w:jc w:val="both"/>
        <w:rPr>
          <w:rFonts w:ascii="Calibri" w:eastAsia="Calibri" w:hAnsi="Calibri"/>
          <w:sz w:val="22"/>
          <w:szCs w:val="22"/>
          <w:lang w:val="es-CR" w:eastAsia="en-US"/>
        </w:rPr>
      </w:pPr>
      <w:r w:rsidRPr="008F4624">
        <w:rPr>
          <w:rFonts w:ascii="Arial" w:eastAsia="Calibri" w:hAnsi="Arial" w:cs="Arial"/>
          <w:sz w:val="22"/>
          <w:szCs w:val="22"/>
          <w:lang w:eastAsia="en-US"/>
        </w:rPr>
        <w:t xml:space="preserve">Modificar el acuerdo de la Sesión Ordinaria No. 2943, Artículo 10, del 21 de octubre de 2015 “Solicitud de formulación presupuestaria FEITEC, a partir del periodo 2016, sobre el FEES Institucional, para el fortalecimiento de las actividades realizadas por la FEITEC”, para que se agregue un punto a.4 con el siguiente texto: </w:t>
      </w:r>
    </w:p>
    <w:p w:rsidR="008F4624" w:rsidRPr="008F4624" w:rsidRDefault="008F4624" w:rsidP="008F4624">
      <w:pPr>
        <w:ind w:left="851"/>
        <w:contextualSpacing/>
        <w:jc w:val="both"/>
        <w:rPr>
          <w:rFonts w:ascii="Arial" w:eastAsia="Calibri" w:hAnsi="Arial" w:cs="Arial"/>
          <w:sz w:val="22"/>
          <w:szCs w:val="22"/>
          <w:lang w:val="es-CR" w:eastAsia="en-US"/>
        </w:rPr>
      </w:pPr>
    </w:p>
    <w:p w:rsidR="008F4624" w:rsidRPr="008F4624" w:rsidRDefault="008F4624" w:rsidP="008F4624">
      <w:pPr>
        <w:ind w:left="1418" w:hanging="425"/>
        <w:contextualSpacing/>
        <w:jc w:val="both"/>
        <w:rPr>
          <w:rFonts w:ascii="Arial" w:eastAsia="Calibri" w:hAnsi="Arial" w:cs="Arial"/>
          <w:sz w:val="22"/>
          <w:szCs w:val="22"/>
          <w:lang w:eastAsia="en-US"/>
        </w:rPr>
      </w:pPr>
      <w:r w:rsidRPr="008F4624">
        <w:rPr>
          <w:rFonts w:ascii="Arial" w:eastAsia="Calibri" w:hAnsi="Arial" w:cs="Arial"/>
          <w:sz w:val="22"/>
          <w:szCs w:val="22"/>
          <w:lang w:eastAsia="en-US"/>
        </w:rPr>
        <w:t xml:space="preserve">a.4. El presupuesto de la FEITEC, no podrá ser menor al presupuesto del año anterior y se establecerá a partir de una propuesta de mutuo acuerdo entre la FEITEC y la Administración, en el marco de las posibilidades presupuestarias del ITCR. </w:t>
      </w:r>
    </w:p>
    <w:p w:rsidR="008F4624" w:rsidRPr="008F4624" w:rsidRDefault="008F4624" w:rsidP="008F4624">
      <w:pPr>
        <w:ind w:left="851" w:right="-91"/>
        <w:jc w:val="both"/>
        <w:rPr>
          <w:rFonts w:ascii="Arial" w:eastAsia="Calibri" w:hAnsi="Arial" w:cs="Arial"/>
          <w:color w:val="000000"/>
          <w:sz w:val="22"/>
          <w:szCs w:val="22"/>
          <w:lang w:val="es-CR" w:eastAsia="en-US"/>
        </w:rPr>
      </w:pPr>
    </w:p>
    <w:p w:rsidR="008F4624" w:rsidRPr="008F4624" w:rsidRDefault="008F4624" w:rsidP="008F4624">
      <w:pPr>
        <w:numPr>
          <w:ilvl w:val="0"/>
          <w:numId w:val="30"/>
        </w:numPr>
        <w:contextualSpacing/>
        <w:jc w:val="both"/>
        <w:rPr>
          <w:rFonts w:ascii="Arial" w:hAnsi="Arial" w:cs="Arial"/>
          <w:lang w:eastAsia="en-US"/>
        </w:rPr>
      </w:pPr>
      <w:r w:rsidRPr="008F4624">
        <w:rPr>
          <w:rFonts w:ascii="Arial" w:hAnsi="Arial" w:cs="Arial"/>
          <w:lang w:val="es-CR"/>
        </w:rPr>
        <w:t>Indicar que c</w:t>
      </w:r>
      <w:proofErr w:type="spellStart"/>
      <w:r w:rsidRPr="008F4624">
        <w:rPr>
          <w:rFonts w:ascii="Arial" w:hAnsi="Arial" w:cs="Arial"/>
        </w:rPr>
        <w:t>ontra</w:t>
      </w:r>
      <w:proofErr w:type="spellEnd"/>
      <w:r w:rsidRPr="008F4624">
        <w:rPr>
          <w:rFonts w:ascii="Arial" w:hAnsi="Arial" w:cs="Arial"/>
        </w:rPr>
        <w:t xml:space="preserve"> este acuerdo podrá interponerse recurso de revocatoria ante este consejo o de apelación ante la Asamblea Institucional Representativa, o los extraordinarios de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8F4624" w:rsidRPr="008F4624" w:rsidRDefault="008F4624" w:rsidP="008F4624">
      <w:pPr>
        <w:jc w:val="both"/>
        <w:rPr>
          <w:rFonts w:ascii="Arial" w:eastAsia="Calibri" w:hAnsi="Arial" w:cs="Arial"/>
          <w:sz w:val="22"/>
          <w:szCs w:val="22"/>
          <w:lang w:val="es-CR"/>
        </w:rPr>
      </w:pPr>
    </w:p>
    <w:p w:rsidR="00215C41" w:rsidRDefault="00BB6A5E" w:rsidP="008F4624">
      <w:pPr>
        <w:numPr>
          <w:ilvl w:val="0"/>
          <w:numId w:val="30"/>
        </w:numPr>
        <w:contextualSpacing/>
        <w:jc w:val="both"/>
        <w:rPr>
          <w:rFonts w:ascii="Arial" w:hAnsi="Arial" w:cs="Arial"/>
          <w:b/>
          <w:lang w:val="es-CR"/>
        </w:rPr>
      </w:pPr>
      <w:r w:rsidRPr="002E7062">
        <w:rPr>
          <w:rFonts w:ascii="Arial" w:eastAsia="Cambria" w:hAnsi="Arial" w:cs="Arial"/>
          <w:lang w:eastAsia="en-US"/>
        </w:rPr>
        <w:lastRenderedPageBreak/>
        <w:t>Comunicar</w:t>
      </w:r>
      <w:r w:rsidRPr="002E7062">
        <w:rPr>
          <w:rFonts w:ascii="Arial" w:hAnsi="Arial" w:cs="Arial"/>
          <w:lang w:val="es-CR"/>
        </w:rPr>
        <w:t xml:space="preserve">. </w:t>
      </w:r>
      <w:r w:rsidRPr="002E7062">
        <w:rPr>
          <w:rFonts w:ascii="Arial" w:hAnsi="Arial" w:cs="Arial"/>
          <w:b/>
          <w:lang w:val="es-CR"/>
        </w:rPr>
        <w:t xml:space="preserve"> ACUERDO FIRME.</w:t>
      </w:r>
    </w:p>
    <w:p w:rsidR="008F4624" w:rsidRDefault="008F4624" w:rsidP="008F4624">
      <w:pPr>
        <w:contextualSpacing/>
        <w:jc w:val="both"/>
        <w:rPr>
          <w:rFonts w:ascii="Arial" w:hAnsi="Arial" w:cs="Arial"/>
          <w:b/>
          <w:lang w:val="es-CR"/>
        </w:rPr>
      </w:pPr>
    </w:p>
    <w:p w:rsidR="008F4624" w:rsidRDefault="008F4624" w:rsidP="008F4624">
      <w:pPr>
        <w:contextualSpacing/>
        <w:jc w:val="both"/>
        <w:rPr>
          <w:rFonts w:ascii="Arial" w:hAnsi="Arial" w:cs="Arial"/>
          <w:b/>
          <w:lang w:val="es-CR"/>
        </w:rPr>
      </w:pPr>
    </w:p>
    <w:p w:rsidR="008F4624" w:rsidRPr="008F4624" w:rsidRDefault="008F4624" w:rsidP="008F4624">
      <w:pPr>
        <w:ind w:right="284"/>
        <w:jc w:val="both"/>
        <w:rPr>
          <w:rFonts w:ascii="Arial" w:hAnsi="Arial" w:cs="Arial"/>
          <w:b/>
          <w:iCs/>
        </w:rPr>
      </w:pPr>
      <w:r w:rsidRPr="008F4624">
        <w:rPr>
          <w:rFonts w:ascii="Arial" w:hAnsi="Arial" w:cs="Arial"/>
          <w:b/>
          <w:iCs/>
        </w:rPr>
        <w:t>Palabras clave:  Subsanar acuerdo Sesión 3090 – Art 12 - Formulación Presupuestaria FEITEC</w:t>
      </w:r>
    </w:p>
    <w:p w:rsidR="008F4624" w:rsidRPr="008F4624" w:rsidRDefault="008F4624" w:rsidP="008F4624">
      <w:pPr>
        <w:jc w:val="both"/>
        <w:rPr>
          <w:rFonts w:ascii="Arial" w:eastAsia="Cambria" w:hAnsi="Arial" w:cs="Arial"/>
          <w:lang w:eastAsia="en-US"/>
        </w:rPr>
      </w:pPr>
    </w:p>
    <w:p w:rsidR="008F4624" w:rsidRPr="000B2613" w:rsidRDefault="008F4624" w:rsidP="008F4624">
      <w:pPr>
        <w:jc w:val="both"/>
        <w:rPr>
          <w:rFonts w:ascii="Arial" w:eastAsia="Cambria" w:hAnsi="Arial" w:cs="Arial"/>
          <w:lang w:val="es-CR" w:eastAsia="en-US"/>
        </w:rPr>
      </w:pPr>
    </w:p>
    <w:p w:rsidR="00215AEB" w:rsidRDefault="00215AEB" w:rsidP="00215AEB">
      <w:pPr>
        <w:jc w:val="both"/>
        <w:rPr>
          <w:rFonts w:ascii="Arial" w:hAnsi="Arial" w:cs="Arial"/>
          <w:b/>
          <w:lang w:val="es-CR"/>
        </w:rPr>
      </w:pPr>
    </w:p>
    <w:p w:rsidR="002E7062" w:rsidRDefault="002E7062" w:rsidP="002E7062">
      <w:pPr>
        <w:autoSpaceDE w:val="0"/>
        <w:autoSpaceDN w:val="0"/>
        <w:adjustRightInd w:val="0"/>
        <w:ind w:left="360" w:right="-91"/>
        <w:jc w:val="both"/>
        <w:rPr>
          <w:rFonts w:ascii="Arial" w:hAnsi="Arial" w:cs="Arial"/>
          <w:b/>
          <w:sz w:val="22"/>
          <w:szCs w:val="22"/>
          <w:lang w:val="es-CR"/>
        </w:rPr>
      </w:pPr>
    </w:p>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B77B04" w:rsidRDefault="00C413F4" w:rsidP="008F6C51">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r w:rsidR="000B2613">
        <w:rPr>
          <w:rFonts w:ascii="Arial" w:eastAsia="Cambria" w:hAnsi="Arial" w:cs="Arial"/>
          <w:b/>
          <w:sz w:val="16"/>
          <w:szCs w:val="16"/>
          <w:lang w:val="es-ES_tradnl" w:eastAsia="en-US"/>
        </w:rPr>
        <w:t xml:space="preserve"> </w:t>
      </w:r>
    </w:p>
    <w:p w:rsidR="009062B0" w:rsidRDefault="009062B0" w:rsidP="008F6C51">
      <w:pPr>
        <w:jc w:val="both"/>
        <w:rPr>
          <w:rFonts w:ascii="Arial" w:eastAsia="Cambria" w:hAnsi="Arial" w:cs="Arial"/>
          <w:b/>
          <w:sz w:val="16"/>
          <w:szCs w:val="16"/>
          <w:lang w:val="es-ES_tradnl" w:eastAsia="en-US"/>
        </w:rPr>
      </w:pPr>
    </w:p>
    <w:p w:rsidR="009062B0" w:rsidRDefault="009062B0" w:rsidP="008F6C51">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96A" w:rsidRDefault="0011596A">
      <w:r>
        <w:separator/>
      </w:r>
    </w:p>
  </w:endnote>
  <w:endnote w:type="continuationSeparator" w:id="0">
    <w:p w:rsidR="0011596A" w:rsidRDefault="0011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notTrueType/>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Default="00082329">
    <w:pPr>
      <w:pStyle w:val="Piedepgina"/>
      <w:jc w:val="center"/>
    </w:pPr>
  </w:p>
  <w:p w:rsidR="00082329" w:rsidRDefault="000823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96A" w:rsidRDefault="0011596A">
      <w:r>
        <w:separator/>
      </w:r>
    </w:p>
  </w:footnote>
  <w:footnote w:type="continuationSeparator" w:id="0">
    <w:p w:rsidR="0011596A" w:rsidRDefault="00115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Pr="00D958BC" w:rsidRDefault="00082329"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082329" w:rsidRPr="00D958BC"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31</w:t>
    </w:r>
    <w:r w:rsidR="008F6C51">
      <w:rPr>
        <w:rFonts w:ascii="Arial" w:eastAsia="Cambria" w:hAnsi="Arial" w:cs="Arial"/>
        <w:i/>
        <w:sz w:val="18"/>
        <w:szCs w:val="18"/>
        <w:lang w:val="es-ES_tradnl" w:eastAsia="x-none"/>
      </w:rPr>
      <w:t>1</w:t>
    </w:r>
    <w:r w:rsidR="009062B0">
      <w:rPr>
        <w:rFonts w:ascii="Arial" w:eastAsia="Cambria" w:hAnsi="Arial" w:cs="Arial"/>
        <w:i/>
        <w:sz w:val="18"/>
        <w:szCs w:val="18"/>
        <w:lang w:val="es-ES_tradnl" w:eastAsia="x-none"/>
      </w:rPr>
      <w:t>3</w:t>
    </w:r>
    <w:r w:rsidRPr="00D958BC">
      <w:rPr>
        <w:rFonts w:ascii="Arial" w:eastAsia="Cambria" w:hAnsi="Arial" w:cs="Arial"/>
        <w:i/>
        <w:sz w:val="18"/>
        <w:szCs w:val="18"/>
        <w:lang w:val="es-ES_tradnl" w:eastAsia="x-none"/>
      </w:rPr>
      <w:t xml:space="preserve">, Artículo </w:t>
    </w:r>
    <w:r w:rsidR="009062B0">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9062B0">
      <w:rPr>
        <w:rFonts w:ascii="Arial" w:eastAsia="Cambria" w:hAnsi="Arial" w:cs="Arial"/>
        <w:i/>
        <w:sz w:val="18"/>
        <w:szCs w:val="18"/>
        <w:lang w:val="es-ES_tradnl" w:eastAsia="x-none"/>
      </w:rPr>
      <w:t xml:space="preserve">03 de abril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9</w:t>
    </w:r>
  </w:p>
  <w:p w:rsidR="00082329"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8F4624">
      <w:rPr>
        <w:rFonts w:ascii="Arial" w:eastAsia="Cambria" w:hAnsi="Arial" w:cs="Arial"/>
        <w:i/>
        <w:noProof/>
        <w:sz w:val="18"/>
        <w:szCs w:val="18"/>
        <w:lang w:val="es-ES_tradnl" w:eastAsia="x-none"/>
      </w:rPr>
      <w:t>5</w:t>
    </w:r>
    <w:r w:rsidRPr="00D958BC">
      <w:rPr>
        <w:rFonts w:ascii="Arial" w:eastAsia="Cambria" w:hAnsi="Arial" w:cs="Arial"/>
        <w:i/>
        <w:sz w:val="18"/>
        <w:szCs w:val="18"/>
        <w:lang w:val="es-ES_tradnl" w:eastAsia="x-none"/>
      </w:rPr>
      <w:fldChar w:fldCharType="end"/>
    </w:r>
  </w:p>
  <w:p w:rsidR="00082329" w:rsidRDefault="00082329"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4F17C3"/>
    <w:multiLevelType w:val="hybridMultilevel"/>
    <w:tmpl w:val="3F62DE68"/>
    <w:lvl w:ilvl="0" w:tplc="DEA87D80">
      <w:start w:val="1"/>
      <w:numFmt w:val="lowerLetter"/>
      <w:lvlText w:val="%1."/>
      <w:lvlJc w:val="left"/>
      <w:pPr>
        <w:ind w:left="786" w:hanging="360"/>
      </w:pPr>
      <w:rPr>
        <w:rFonts w:hint="default"/>
        <w:b/>
        <w:i w:val="0"/>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7664FC"/>
    <w:multiLevelType w:val="hybridMultilevel"/>
    <w:tmpl w:val="4382622A"/>
    <w:lvl w:ilvl="0" w:tplc="464C4538">
      <w:start w:val="1"/>
      <w:numFmt w:val="decimal"/>
      <w:lvlText w:val="%1."/>
      <w:lvlJc w:val="left"/>
      <w:pPr>
        <w:ind w:left="720" w:hanging="360"/>
      </w:pPr>
      <w:rPr>
        <w:rFonts w:ascii="Arial" w:hAnsi="Arial" w:cs="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6743888"/>
    <w:multiLevelType w:val="hybridMultilevel"/>
    <w:tmpl w:val="F1608752"/>
    <w:lvl w:ilvl="0" w:tplc="DC727E2E">
      <w:start w:val="1"/>
      <w:numFmt w:val="decimal"/>
      <w:lvlText w:val="%1."/>
      <w:lvlJc w:val="left"/>
      <w:pPr>
        <w:ind w:left="360" w:hanging="360"/>
      </w:pPr>
      <w:rPr>
        <w:b/>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08AA13C6"/>
    <w:multiLevelType w:val="hybridMultilevel"/>
    <w:tmpl w:val="A36AAFCE"/>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6" w15:restartNumberingAfterBreak="0">
    <w:nsid w:val="0AC9716F"/>
    <w:multiLevelType w:val="hybridMultilevel"/>
    <w:tmpl w:val="3E966F5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EC13582"/>
    <w:multiLevelType w:val="hybridMultilevel"/>
    <w:tmpl w:val="8DD00CE6"/>
    <w:lvl w:ilvl="0" w:tplc="7910F70E">
      <w:start w:val="1"/>
      <w:numFmt w:val="lowerLetter"/>
      <w:lvlText w:val="%1)"/>
      <w:lvlJc w:val="left"/>
      <w:pPr>
        <w:ind w:left="1108" w:hanging="360"/>
      </w:pPr>
      <w:rPr>
        <w:rFonts w:hint="default"/>
      </w:rPr>
    </w:lvl>
    <w:lvl w:ilvl="1" w:tplc="140A0019" w:tentative="1">
      <w:start w:val="1"/>
      <w:numFmt w:val="lowerLetter"/>
      <w:lvlText w:val="%2."/>
      <w:lvlJc w:val="left"/>
      <w:pPr>
        <w:ind w:left="1828" w:hanging="360"/>
      </w:pPr>
    </w:lvl>
    <w:lvl w:ilvl="2" w:tplc="140A001B" w:tentative="1">
      <w:start w:val="1"/>
      <w:numFmt w:val="lowerRoman"/>
      <w:lvlText w:val="%3."/>
      <w:lvlJc w:val="right"/>
      <w:pPr>
        <w:ind w:left="2548" w:hanging="180"/>
      </w:pPr>
    </w:lvl>
    <w:lvl w:ilvl="3" w:tplc="140A000F" w:tentative="1">
      <w:start w:val="1"/>
      <w:numFmt w:val="decimal"/>
      <w:lvlText w:val="%4."/>
      <w:lvlJc w:val="left"/>
      <w:pPr>
        <w:ind w:left="3268" w:hanging="360"/>
      </w:pPr>
    </w:lvl>
    <w:lvl w:ilvl="4" w:tplc="140A0019" w:tentative="1">
      <w:start w:val="1"/>
      <w:numFmt w:val="lowerLetter"/>
      <w:lvlText w:val="%5."/>
      <w:lvlJc w:val="left"/>
      <w:pPr>
        <w:ind w:left="3988" w:hanging="360"/>
      </w:pPr>
    </w:lvl>
    <w:lvl w:ilvl="5" w:tplc="140A001B" w:tentative="1">
      <w:start w:val="1"/>
      <w:numFmt w:val="lowerRoman"/>
      <w:lvlText w:val="%6."/>
      <w:lvlJc w:val="right"/>
      <w:pPr>
        <w:ind w:left="4708" w:hanging="180"/>
      </w:pPr>
    </w:lvl>
    <w:lvl w:ilvl="6" w:tplc="140A000F" w:tentative="1">
      <w:start w:val="1"/>
      <w:numFmt w:val="decimal"/>
      <w:lvlText w:val="%7."/>
      <w:lvlJc w:val="left"/>
      <w:pPr>
        <w:ind w:left="5428" w:hanging="360"/>
      </w:pPr>
    </w:lvl>
    <w:lvl w:ilvl="7" w:tplc="140A0019" w:tentative="1">
      <w:start w:val="1"/>
      <w:numFmt w:val="lowerLetter"/>
      <w:lvlText w:val="%8."/>
      <w:lvlJc w:val="left"/>
      <w:pPr>
        <w:ind w:left="6148" w:hanging="360"/>
      </w:pPr>
    </w:lvl>
    <w:lvl w:ilvl="8" w:tplc="140A001B" w:tentative="1">
      <w:start w:val="1"/>
      <w:numFmt w:val="lowerRoman"/>
      <w:lvlText w:val="%9."/>
      <w:lvlJc w:val="right"/>
      <w:pPr>
        <w:ind w:left="6868" w:hanging="180"/>
      </w:pPr>
    </w:lvl>
  </w:abstractNum>
  <w:abstractNum w:abstractNumId="8" w15:restartNumberingAfterBreak="0">
    <w:nsid w:val="17135D97"/>
    <w:multiLevelType w:val="hybridMultilevel"/>
    <w:tmpl w:val="BE569880"/>
    <w:lvl w:ilvl="0" w:tplc="DD7A21C2">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0186392"/>
    <w:multiLevelType w:val="hybridMultilevel"/>
    <w:tmpl w:val="D2EE82A0"/>
    <w:lvl w:ilvl="0" w:tplc="0C0A0019">
      <w:start w:val="1"/>
      <w:numFmt w:val="lowerLetter"/>
      <w:lvlText w:val="%1."/>
      <w:lvlJc w:val="left"/>
      <w:pPr>
        <w:ind w:left="360" w:hanging="360"/>
      </w:pPr>
      <w:rPr>
        <w:rFonts w:hint="default"/>
        <w:b/>
        <w:sz w:val="22"/>
        <w:szCs w:val="22"/>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20A76CDF"/>
    <w:multiLevelType w:val="multilevel"/>
    <w:tmpl w:val="BDB43F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F2644A"/>
    <w:multiLevelType w:val="hybridMultilevel"/>
    <w:tmpl w:val="7A40714E"/>
    <w:lvl w:ilvl="0" w:tplc="520AE2FC">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26553FA2"/>
    <w:multiLevelType w:val="multilevel"/>
    <w:tmpl w:val="8F7020B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15:restartNumberingAfterBreak="0">
    <w:nsid w:val="2A6D497A"/>
    <w:multiLevelType w:val="hybridMultilevel"/>
    <w:tmpl w:val="FFC2789E"/>
    <w:lvl w:ilvl="0" w:tplc="9E48C048">
      <w:start w:val="1"/>
      <w:numFmt w:val="low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0">
    <w:nsid w:val="2B3832C3"/>
    <w:multiLevelType w:val="hybridMultilevel"/>
    <w:tmpl w:val="3B908574"/>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D1F483B"/>
    <w:multiLevelType w:val="hybridMultilevel"/>
    <w:tmpl w:val="795882F4"/>
    <w:lvl w:ilvl="0" w:tplc="FFFFFFFF">
      <w:start w:val="1"/>
      <w:numFmt w:val="bullet"/>
      <w:lvlText w:val="-"/>
      <w:lvlJc w:val="left"/>
      <w:pPr>
        <w:ind w:left="720" w:hanging="360"/>
      </w:pPr>
      <w:rPr>
        <w:rFonts w:ascii="Sylfaen" w:hAnsi="Sylfaen" w:hint="default"/>
      </w:rPr>
    </w:lvl>
    <w:lvl w:ilvl="1" w:tplc="FFFFFFFF">
      <w:start w:val="1"/>
      <w:numFmt w:val="bullet"/>
      <w:lvlText w:val="-"/>
      <w:lvlJc w:val="left"/>
      <w:pPr>
        <w:ind w:left="1440" w:hanging="360"/>
      </w:pPr>
      <w:rPr>
        <w:rFonts w:ascii="Sylfaen" w:hAnsi="Sylfaen"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2FB1482B"/>
    <w:multiLevelType w:val="hybridMultilevel"/>
    <w:tmpl w:val="C00AF73E"/>
    <w:lvl w:ilvl="0" w:tplc="140A000D">
      <w:start w:val="1"/>
      <w:numFmt w:val="bullet"/>
      <w:lvlText w:val=""/>
      <w:lvlJc w:val="left"/>
      <w:pPr>
        <w:ind w:left="720" w:hanging="360"/>
      </w:pPr>
      <w:rPr>
        <w:rFonts w:ascii="Wingdings" w:hAnsi="Wingdings" w:hint="default"/>
        <w:b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0916520"/>
    <w:multiLevelType w:val="singleLevel"/>
    <w:tmpl w:val="2A4278DE"/>
    <w:lvl w:ilvl="0">
      <w:start w:val="1"/>
      <w:numFmt w:val="lowerLetter"/>
      <w:lvlText w:val="%1."/>
      <w:lvlJc w:val="left"/>
      <w:pPr>
        <w:tabs>
          <w:tab w:val="num" w:pos="927"/>
        </w:tabs>
        <w:ind w:left="850" w:hanging="283"/>
      </w:pPr>
      <w:rPr>
        <w:rFonts w:cs="Times New Roman" w:hint="default"/>
        <w:b/>
        <w:i w:val="0"/>
        <w:sz w:val="24"/>
        <w:szCs w:val="24"/>
      </w:rPr>
    </w:lvl>
  </w:abstractNum>
  <w:abstractNum w:abstractNumId="18" w15:restartNumberingAfterBreak="0">
    <w:nsid w:val="34BA7C37"/>
    <w:multiLevelType w:val="hybridMultilevel"/>
    <w:tmpl w:val="6BCA9E00"/>
    <w:lvl w:ilvl="0" w:tplc="FD52B58C">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D3E2BAF"/>
    <w:multiLevelType w:val="hybridMultilevel"/>
    <w:tmpl w:val="2CAE703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2" w15:restartNumberingAfterBreak="0">
    <w:nsid w:val="46DB14D2"/>
    <w:multiLevelType w:val="hybridMultilevel"/>
    <w:tmpl w:val="77D4700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51CC46C7"/>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2FC65D4"/>
    <w:multiLevelType w:val="hybridMultilevel"/>
    <w:tmpl w:val="D436A504"/>
    <w:lvl w:ilvl="0" w:tplc="32AC4BB0">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6" w15:restartNumberingAfterBreak="0">
    <w:nsid w:val="540B7AE8"/>
    <w:multiLevelType w:val="multilevel"/>
    <w:tmpl w:val="C4EAB8B2"/>
    <w:lvl w:ilvl="0">
      <w:start w:val="1"/>
      <w:numFmt w:val="decimal"/>
      <w:lvlText w:val="%1)"/>
      <w:lvlJc w:val="left"/>
      <w:pPr>
        <w:ind w:left="360" w:hanging="360"/>
      </w:pPr>
      <w:rPr>
        <w:rFonts w:hint="default"/>
      </w:rPr>
    </w:lvl>
    <w:lvl w:ilvl="1">
      <w:start w:val="1"/>
      <w:numFmt w:val="decimal"/>
      <w:lvlText w:val="%2."/>
      <w:lvlJc w:val="left"/>
      <w:pPr>
        <w:ind w:left="720" w:hanging="360"/>
      </w:pPr>
      <w:rPr>
        <w:b/>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4E81E83"/>
    <w:multiLevelType w:val="hybridMultilevel"/>
    <w:tmpl w:val="9C48E862"/>
    <w:lvl w:ilvl="0" w:tplc="FDE4C5FA">
      <w:start w:val="1"/>
      <w:numFmt w:val="lowerLetter"/>
      <w:lvlText w:val="%1."/>
      <w:lvlJc w:val="left"/>
      <w:pPr>
        <w:ind w:left="436" w:hanging="360"/>
      </w:pPr>
      <w:rPr>
        <w:rFonts w:cs="TTE1865388t00" w:hint="default"/>
        <w:b/>
        <w:i w:val="0"/>
        <w:sz w:val="24"/>
        <w:szCs w:val="24"/>
      </w:rPr>
    </w:lvl>
    <w:lvl w:ilvl="1" w:tplc="140A0019" w:tentative="1">
      <w:start w:val="1"/>
      <w:numFmt w:val="lowerLetter"/>
      <w:lvlText w:val="%2."/>
      <w:lvlJc w:val="left"/>
      <w:pPr>
        <w:ind w:left="1156" w:hanging="360"/>
      </w:pPr>
    </w:lvl>
    <w:lvl w:ilvl="2" w:tplc="140A001B" w:tentative="1">
      <w:start w:val="1"/>
      <w:numFmt w:val="lowerRoman"/>
      <w:lvlText w:val="%3."/>
      <w:lvlJc w:val="right"/>
      <w:pPr>
        <w:ind w:left="1876" w:hanging="180"/>
      </w:pPr>
    </w:lvl>
    <w:lvl w:ilvl="3" w:tplc="140A000F" w:tentative="1">
      <w:start w:val="1"/>
      <w:numFmt w:val="decimal"/>
      <w:lvlText w:val="%4."/>
      <w:lvlJc w:val="left"/>
      <w:pPr>
        <w:ind w:left="2596" w:hanging="360"/>
      </w:pPr>
    </w:lvl>
    <w:lvl w:ilvl="4" w:tplc="140A0019" w:tentative="1">
      <w:start w:val="1"/>
      <w:numFmt w:val="lowerLetter"/>
      <w:lvlText w:val="%5."/>
      <w:lvlJc w:val="left"/>
      <w:pPr>
        <w:ind w:left="3316" w:hanging="360"/>
      </w:pPr>
    </w:lvl>
    <w:lvl w:ilvl="5" w:tplc="140A001B" w:tentative="1">
      <w:start w:val="1"/>
      <w:numFmt w:val="lowerRoman"/>
      <w:lvlText w:val="%6."/>
      <w:lvlJc w:val="right"/>
      <w:pPr>
        <w:ind w:left="4036" w:hanging="180"/>
      </w:pPr>
    </w:lvl>
    <w:lvl w:ilvl="6" w:tplc="140A000F" w:tentative="1">
      <w:start w:val="1"/>
      <w:numFmt w:val="decimal"/>
      <w:lvlText w:val="%7."/>
      <w:lvlJc w:val="left"/>
      <w:pPr>
        <w:ind w:left="4756" w:hanging="360"/>
      </w:pPr>
    </w:lvl>
    <w:lvl w:ilvl="7" w:tplc="140A0019" w:tentative="1">
      <w:start w:val="1"/>
      <w:numFmt w:val="lowerLetter"/>
      <w:lvlText w:val="%8."/>
      <w:lvlJc w:val="left"/>
      <w:pPr>
        <w:ind w:left="5476" w:hanging="360"/>
      </w:pPr>
    </w:lvl>
    <w:lvl w:ilvl="8" w:tplc="140A001B" w:tentative="1">
      <w:start w:val="1"/>
      <w:numFmt w:val="lowerRoman"/>
      <w:lvlText w:val="%9."/>
      <w:lvlJc w:val="right"/>
      <w:pPr>
        <w:ind w:left="6196" w:hanging="180"/>
      </w:pPr>
    </w:lvl>
  </w:abstractNum>
  <w:abstractNum w:abstractNumId="28" w15:restartNumberingAfterBreak="0">
    <w:nsid w:val="68444B5D"/>
    <w:multiLevelType w:val="hybridMultilevel"/>
    <w:tmpl w:val="07768248"/>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953752E"/>
    <w:multiLevelType w:val="hybridMultilevel"/>
    <w:tmpl w:val="4382622A"/>
    <w:lvl w:ilvl="0" w:tplc="464C4538">
      <w:start w:val="1"/>
      <w:numFmt w:val="decimal"/>
      <w:lvlText w:val="%1."/>
      <w:lvlJc w:val="left"/>
      <w:pPr>
        <w:ind w:left="720" w:hanging="360"/>
      </w:pPr>
      <w:rPr>
        <w:rFonts w:ascii="Arial" w:hAnsi="Arial" w:cs="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0345397"/>
    <w:multiLevelType w:val="hybridMultilevel"/>
    <w:tmpl w:val="DBC81622"/>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237772D"/>
    <w:multiLevelType w:val="hybridMultilevel"/>
    <w:tmpl w:val="0A024BD6"/>
    <w:lvl w:ilvl="0" w:tplc="DEA87D80">
      <w:start w:val="1"/>
      <w:numFmt w:val="low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3" w15:restartNumberingAfterBreak="0">
    <w:nsid w:val="7DCE1C51"/>
    <w:multiLevelType w:val="hybridMultilevel"/>
    <w:tmpl w:val="155CCCC4"/>
    <w:lvl w:ilvl="0" w:tplc="1084F70E">
      <w:start w:val="1"/>
      <w:numFmt w:val="lowerLetter"/>
      <w:lvlText w:val="%1."/>
      <w:lvlJc w:val="left"/>
      <w:pPr>
        <w:ind w:left="720" w:hanging="360"/>
      </w:pPr>
      <w:rPr>
        <w:rFonts w:ascii="Arial" w:hAnsi="Arial" w:cs="Arial" w:hint="default"/>
        <w:b/>
        <w:strike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E8F1808"/>
    <w:multiLevelType w:val="hybridMultilevel"/>
    <w:tmpl w:val="1E68CDC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9"/>
  </w:num>
  <w:num w:numId="7">
    <w:abstractNumId w:val="21"/>
  </w:num>
  <w:num w:numId="8">
    <w:abstractNumId w:val="22"/>
  </w:num>
  <w:num w:numId="9">
    <w:abstractNumId w:val="13"/>
  </w:num>
  <w:num w:numId="10">
    <w:abstractNumId w:val="15"/>
  </w:num>
  <w:num w:numId="11">
    <w:abstractNumId w:val="28"/>
  </w:num>
  <w:num w:numId="12">
    <w:abstractNumId w:val="12"/>
  </w:num>
  <w:num w:numId="13">
    <w:abstractNumId w:val="5"/>
  </w:num>
  <w:num w:numId="14">
    <w:abstractNumId w:val="17"/>
  </w:num>
  <w:num w:numId="15">
    <w:abstractNumId w:val="20"/>
  </w:num>
  <w:num w:numId="16">
    <w:abstractNumId w:val="7"/>
  </w:num>
  <w:num w:numId="17">
    <w:abstractNumId w:val="24"/>
  </w:num>
  <w:num w:numId="18">
    <w:abstractNumId w:val="18"/>
  </w:num>
  <w:num w:numId="19">
    <w:abstractNumId w:val="14"/>
  </w:num>
  <w:num w:numId="20">
    <w:abstractNumId w:val="26"/>
  </w:num>
  <w:num w:numId="21">
    <w:abstractNumId w:val="30"/>
  </w:num>
  <w:num w:numId="22">
    <w:abstractNumId w:val="27"/>
  </w:num>
  <w:num w:numId="23">
    <w:abstractNumId w:val="34"/>
  </w:num>
  <w:num w:numId="24">
    <w:abstractNumId w:val="1"/>
  </w:num>
  <w:num w:numId="25">
    <w:abstractNumId w:val="11"/>
  </w:num>
  <w:num w:numId="26">
    <w:abstractNumId w:val="25"/>
  </w:num>
  <w:num w:numId="27">
    <w:abstractNumId w:val="31"/>
  </w:num>
  <w:num w:numId="28">
    <w:abstractNumId w:val="23"/>
  </w:num>
  <w:num w:numId="29">
    <w:abstractNumId w:val="32"/>
  </w:num>
  <w:num w:numId="30">
    <w:abstractNumId w:val="19"/>
  </w:num>
  <w:num w:numId="31">
    <w:abstractNumId w:val="6"/>
  </w:num>
  <w:num w:numId="32">
    <w:abstractNumId w:val="16"/>
  </w:num>
  <w:num w:numId="33">
    <w:abstractNumId w:val="33"/>
  </w:num>
  <w:num w:numId="34">
    <w:abstractNumId w:val="29"/>
  </w:num>
  <w:num w:numId="3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52427"/>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2329"/>
    <w:rsid w:val="000846DF"/>
    <w:rsid w:val="00084DC2"/>
    <w:rsid w:val="00084FDD"/>
    <w:rsid w:val="000856DA"/>
    <w:rsid w:val="000857E5"/>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2613"/>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596A"/>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AEB"/>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6AA4"/>
    <w:rsid w:val="0026727D"/>
    <w:rsid w:val="00267A3B"/>
    <w:rsid w:val="00267FAF"/>
    <w:rsid w:val="002743B7"/>
    <w:rsid w:val="00274B8E"/>
    <w:rsid w:val="00275822"/>
    <w:rsid w:val="00275FE3"/>
    <w:rsid w:val="00280C7B"/>
    <w:rsid w:val="00281B37"/>
    <w:rsid w:val="00283360"/>
    <w:rsid w:val="00283375"/>
    <w:rsid w:val="00284956"/>
    <w:rsid w:val="00286461"/>
    <w:rsid w:val="00286E1B"/>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3ED6"/>
    <w:rsid w:val="002B4AA8"/>
    <w:rsid w:val="002C0D34"/>
    <w:rsid w:val="002C163E"/>
    <w:rsid w:val="002C19F4"/>
    <w:rsid w:val="002C228F"/>
    <w:rsid w:val="002C2B58"/>
    <w:rsid w:val="002C468D"/>
    <w:rsid w:val="002C4D2C"/>
    <w:rsid w:val="002C6BE2"/>
    <w:rsid w:val="002D170E"/>
    <w:rsid w:val="002D2A79"/>
    <w:rsid w:val="002D2C7C"/>
    <w:rsid w:val="002D2DF2"/>
    <w:rsid w:val="002D651B"/>
    <w:rsid w:val="002D6978"/>
    <w:rsid w:val="002D76DD"/>
    <w:rsid w:val="002E03BF"/>
    <w:rsid w:val="002E1507"/>
    <w:rsid w:val="002E2751"/>
    <w:rsid w:val="002E49F2"/>
    <w:rsid w:val="002E5A2A"/>
    <w:rsid w:val="002E7062"/>
    <w:rsid w:val="002F03FC"/>
    <w:rsid w:val="002F05FD"/>
    <w:rsid w:val="002F1374"/>
    <w:rsid w:val="002F6367"/>
    <w:rsid w:val="00300778"/>
    <w:rsid w:val="003008B4"/>
    <w:rsid w:val="003011A3"/>
    <w:rsid w:val="0030153B"/>
    <w:rsid w:val="00301B0B"/>
    <w:rsid w:val="00302A99"/>
    <w:rsid w:val="003042E7"/>
    <w:rsid w:val="00305BC2"/>
    <w:rsid w:val="0031009D"/>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4443"/>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7B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5DD5"/>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72C"/>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25A1"/>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5C03"/>
    <w:rsid w:val="006F6992"/>
    <w:rsid w:val="006F7054"/>
    <w:rsid w:val="006F736E"/>
    <w:rsid w:val="006F7C62"/>
    <w:rsid w:val="00700643"/>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0F7"/>
    <w:rsid w:val="00771193"/>
    <w:rsid w:val="007729C9"/>
    <w:rsid w:val="00773714"/>
    <w:rsid w:val="007742A1"/>
    <w:rsid w:val="00774600"/>
    <w:rsid w:val="00777FF4"/>
    <w:rsid w:val="00781332"/>
    <w:rsid w:val="007819B0"/>
    <w:rsid w:val="007837C1"/>
    <w:rsid w:val="007848E0"/>
    <w:rsid w:val="0078514D"/>
    <w:rsid w:val="00791713"/>
    <w:rsid w:val="00791D2B"/>
    <w:rsid w:val="00794454"/>
    <w:rsid w:val="00795377"/>
    <w:rsid w:val="007A1C46"/>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1C40"/>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624"/>
    <w:rsid w:val="008F4B86"/>
    <w:rsid w:val="008F6C51"/>
    <w:rsid w:val="009006A5"/>
    <w:rsid w:val="00900ABC"/>
    <w:rsid w:val="00902B37"/>
    <w:rsid w:val="009062B0"/>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3A87"/>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AF667D"/>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6420"/>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3A88"/>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654"/>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607"/>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3A547"/>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E706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8B985-2026-4EF9-BB87-58867237C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5</Pages>
  <Words>1631</Words>
  <Characters>8974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116</cp:revision>
  <cp:lastPrinted>2019-03-27T19:47:00Z</cp:lastPrinted>
  <dcterms:created xsi:type="dcterms:W3CDTF">2018-05-02T21:37:00Z</dcterms:created>
  <dcterms:modified xsi:type="dcterms:W3CDTF">2019-04-03T19:21:00Z</dcterms:modified>
</cp:coreProperties>
</file>