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873EA">
        <w:rPr>
          <w:rFonts w:ascii="Arial" w:hAnsi="Arial" w:cs="Arial"/>
          <w:b/>
          <w:bCs/>
          <w:iCs/>
          <w:sz w:val="26"/>
          <w:szCs w:val="22"/>
          <w:lang w:val="es-CR"/>
        </w:rPr>
        <w:t>200</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F873EA" w:rsidRDefault="00F873EA"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Señora Nery Agüero Montero, Jefa Área Comisiones Legislativas VII</w:t>
            </w:r>
          </w:p>
          <w:p w:rsidR="00F873EA" w:rsidRDefault="00F873EA"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Asamblea Legislativa</w:t>
            </w:r>
          </w:p>
          <w:p w:rsidR="00024A27" w:rsidRPr="009D3730" w:rsidRDefault="00024A27" w:rsidP="00A91AC7">
            <w:pPr>
              <w:jc w:val="both"/>
              <w:rPr>
                <w:rFonts w:ascii="Arial" w:eastAsia="Cambria" w:hAnsi="Arial" w:cs="Arial"/>
                <w:sz w:val="22"/>
                <w:szCs w:val="22"/>
                <w:lang w:val="es-ES_tradnl" w:eastAsia="en-US"/>
              </w:rPr>
            </w:pPr>
          </w:p>
          <w:p w:rsidR="008D5D01" w:rsidRPr="00F548D2" w:rsidRDefault="008D5D01" w:rsidP="001E3F3C">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3A524C"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Alexander Calvo Valverde</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a.i.</w:t>
            </w:r>
            <w:bookmarkStart w:id="0" w:name="_GoBack"/>
            <w:bookmarkEnd w:id="0"/>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C7CB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C70F02">
              <w:rPr>
                <w:rFonts w:ascii="Arial" w:eastAsia="Cambria" w:hAnsi="Arial" w:cs="Arial"/>
                <w:b/>
                <w:sz w:val="22"/>
                <w:szCs w:val="22"/>
                <w:lang w:val="es-ES_tradnl" w:eastAsia="en-US"/>
              </w:rPr>
              <w:t>marzo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F873EA">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CC7CB5">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873EA">
              <w:rPr>
                <w:rFonts w:ascii="Arial" w:eastAsia="Calibri" w:hAnsi="Arial" w:cs="Arial"/>
                <w:b/>
                <w:sz w:val="22"/>
                <w:szCs w:val="22"/>
              </w:rPr>
              <w:t>10</w:t>
            </w:r>
            <w:r w:rsidR="007742A1" w:rsidRPr="008F0835">
              <w:rPr>
                <w:rFonts w:ascii="Arial" w:eastAsia="Calibri" w:hAnsi="Arial" w:cs="Arial"/>
                <w:b/>
                <w:sz w:val="22"/>
                <w:szCs w:val="22"/>
              </w:rPr>
              <w:t xml:space="preserve"> del </w:t>
            </w:r>
            <w:r w:rsidR="00CC7CB5">
              <w:rPr>
                <w:rFonts w:ascii="Arial" w:eastAsia="Calibri" w:hAnsi="Arial" w:cs="Arial"/>
                <w:b/>
                <w:sz w:val="22"/>
                <w:szCs w:val="22"/>
              </w:rPr>
              <w:t>20</w:t>
            </w:r>
            <w:r w:rsidR="00C70F02">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CC7CB5" w:rsidRPr="00CC7CB5">
              <w:rPr>
                <w:rFonts w:ascii="Arial" w:hAnsi="Arial" w:cs="Arial"/>
                <w:b/>
                <w:sz w:val="22"/>
                <w:szCs w:val="22"/>
              </w:rPr>
              <w:t>Pronunciamiento del Consejo Institucional del dictamen afirmativo del Proyecto de Ley del Sistema de Estadística Nacional, Expediente No. 20.404</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F873EA" w:rsidRDefault="00F873EA" w:rsidP="007742A1">
      <w:pPr>
        <w:jc w:val="both"/>
        <w:rPr>
          <w:rFonts w:ascii="Arial" w:eastAsia="Cambria" w:hAnsi="Arial" w:cs="Arial"/>
          <w:lang w:val="es-ES_tradnl" w:eastAsia="en-US"/>
        </w:rPr>
      </w:pPr>
    </w:p>
    <w:p w:rsidR="00F873EA" w:rsidRPr="00F873EA" w:rsidRDefault="00F873EA" w:rsidP="00F873EA">
      <w:pPr>
        <w:jc w:val="both"/>
        <w:outlineLvl w:val="0"/>
        <w:rPr>
          <w:rFonts w:ascii="Arial" w:hAnsi="Arial" w:cs="Arial"/>
          <w:b/>
          <w:lang w:val="es-CR"/>
        </w:rPr>
      </w:pPr>
      <w:r w:rsidRPr="00F873EA">
        <w:rPr>
          <w:rFonts w:ascii="Arial" w:hAnsi="Arial" w:cs="Arial"/>
          <w:b/>
          <w:lang w:val="es-CR"/>
        </w:rPr>
        <w:t>RESULTANDO QUE:</w:t>
      </w:r>
    </w:p>
    <w:p w:rsidR="00F873EA" w:rsidRPr="00F873EA" w:rsidRDefault="00F873EA" w:rsidP="00F873EA">
      <w:pPr>
        <w:jc w:val="both"/>
        <w:outlineLvl w:val="0"/>
        <w:rPr>
          <w:rFonts w:ascii="Arial" w:hAnsi="Arial" w:cs="Arial"/>
          <w:b/>
          <w:lang w:val="es-CR"/>
        </w:rPr>
      </w:pPr>
    </w:p>
    <w:p w:rsidR="00F873EA" w:rsidRPr="00F873EA" w:rsidRDefault="00F873EA" w:rsidP="00F873EA">
      <w:pPr>
        <w:numPr>
          <w:ilvl w:val="0"/>
          <w:numId w:val="15"/>
        </w:numPr>
        <w:jc w:val="both"/>
        <w:rPr>
          <w:rFonts w:ascii="Arial" w:hAnsi="Arial" w:cs="Arial"/>
          <w:lang w:val="es-CR"/>
        </w:rPr>
      </w:pPr>
      <w:r w:rsidRPr="00F873EA">
        <w:rPr>
          <w:rFonts w:ascii="Arial" w:hAnsi="Arial" w:cs="Arial"/>
          <w:lang w:val="es-CR"/>
        </w:rPr>
        <w:t>El Artículo 88 de la Constitución Política de la República de Costa Rica prescribe:</w:t>
      </w:r>
    </w:p>
    <w:p w:rsidR="00F873EA" w:rsidRPr="00F873EA" w:rsidRDefault="00F873EA" w:rsidP="00F873EA">
      <w:pPr>
        <w:ind w:left="360"/>
        <w:jc w:val="both"/>
        <w:rPr>
          <w:rFonts w:ascii="Arial" w:hAnsi="Arial" w:cs="Arial"/>
          <w:sz w:val="22"/>
          <w:szCs w:val="22"/>
          <w:lang w:val="es-CR"/>
        </w:rPr>
      </w:pPr>
    </w:p>
    <w:p w:rsidR="00F873EA" w:rsidRPr="00F873EA" w:rsidRDefault="00F873EA" w:rsidP="00F873EA">
      <w:pPr>
        <w:ind w:left="1080" w:right="689"/>
        <w:jc w:val="both"/>
        <w:rPr>
          <w:rFonts w:ascii="Arial" w:hAnsi="Arial" w:cs="Arial"/>
          <w:i/>
          <w:sz w:val="22"/>
          <w:szCs w:val="22"/>
          <w:lang w:val="es-CR"/>
        </w:rPr>
      </w:pPr>
      <w:r w:rsidRPr="00F873EA">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F873EA" w:rsidRPr="00F873EA" w:rsidRDefault="00F873EA" w:rsidP="00F873EA">
      <w:pPr>
        <w:ind w:left="1080" w:right="689"/>
        <w:jc w:val="both"/>
        <w:rPr>
          <w:rFonts w:ascii="Arial" w:hAnsi="Arial" w:cs="Arial"/>
          <w:i/>
          <w:sz w:val="22"/>
          <w:szCs w:val="22"/>
          <w:lang w:val="es-CR"/>
        </w:rPr>
      </w:pPr>
    </w:p>
    <w:p w:rsidR="00F873EA" w:rsidRPr="00F873EA" w:rsidRDefault="00F873EA" w:rsidP="00F873EA">
      <w:pPr>
        <w:numPr>
          <w:ilvl w:val="0"/>
          <w:numId w:val="15"/>
        </w:numPr>
        <w:jc w:val="both"/>
        <w:rPr>
          <w:rFonts w:ascii="Arial" w:hAnsi="Arial" w:cs="Arial"/>
          <w:lang w:val="es-CR"/>
        </w:rPr>
      </w:pPr>
      <w:r w:rsidRPr="00F873EA">
        <w:rPr>
          <w:rFonts w:ascii="Arial" w:hAnsi="Arial" w:cs="Arial"/>
          <w:lang w:val="es-CR"/>
        </w:rPr>
        <w:t>El Estatuto Orgánico del Instituto Tecnológico de Costa Rica, en el Artículo 18, inciso i) señala:</w:t>
      </w:r>
    </w:p>
    <w:p w:rsidR="00F873EA" w:rsidRPr="00F873EA" w:rsidRDefault="00F873EA" w:rsidP="00F873EA">
      <w:pPr>
        <w:ind w:left="1080" w:right="689"/>
        <w:jc w:val="both"/>
        <w:rPr>
          <w:rFonts w:ascii="Arial" w:hAnsi="Arial" w:cs="Arial"/>
          <w:i/>
          <w:sz w:val="22"/>
          <w:szCs w:val="22"/>
          <w:lang w:val="es-CR"/>
        </w:rPr>
      </w:pPr>
    </w:p>
    <w:p w:rsidR="00F873EA" w:rsidRPr="00F873EA" w:rsidRDefault="00F873EA" w:rsidP="00F873EA">
      <w:pPr>
        <w:ind w:left="1080" w:right="689"/>
        <w:jc w:val="both"/>
        <w:rPr>
          <w:rFonts w:ascii="Arial" w:hAnsi="Arial" w:cs="Arial"/>
          <w:i/>
          <w:sz w:val="22"/>
          <w:szCs w:val="22"/>
          <w:lang w:val="es-CR"/>
        </w:rPr>
      </w:pPr>
      <w:r w:rsidRPr="00F873EA">
        <w:rPr>
          <w:rFonts w:ascii="Arial" w:hAnsi="Arial" w:cs="Arial"/>
          <w:i/>
          <w:sz w:val="22"/>
          <w:szCs w:val="22"/>
          <w:lang w:val="es-CR"/>
        </w:rPr>
        <w:t>“Son funciones del Consejo Institucional:</w:t>
      </w:r>
    </w:p>
    <w:p w:rsidR="00F873EA" w:rsidRPr="00F873EA" w:rsidRDefault="00F873EA" w:rsidP="00F873EA">
      <w:pPr>
        <w:ind w:left="1080" w:right="689"/>
        <w:jc w:val="both"/>
        <w:rPr>
          <w:rFonts w:ascii="Arial" w:hAnsi="Arial" w:cs="Arial"/>
          <w:i/>
          <w:sz w:val="22"/>
          <w:szCs w:val="22"/>
          <w:lang w:val="es-CR"/>
        </w:rPr>
      </w:pPr>
      <w:r w:rsidRPr="00F873EA">
        <w:rPr>
          <w:rFonts w:ascii="Arial" w:hAnsi="Arial" w:cs="Arial"/>
          <w:i/>
          <w:sz w:val="22"/>
          <w:szCs w:val="22"/>
          <w:lang w:val="es-CR"/>
        </w:rPr>
        <w:t>…</w:t>
      </w:r>
    </w:p>
    <w:p w:rsidR="00F873EA" w:rsidRPr="00F873EA" w:rsidRDefault="00F873EA" w:rsidP="00F873EA">
      <w:pPr>
        <w:ind w:left="1080" w:right="689"/>
        <w:jc w:val="both"/>
        <w:rPr>
          <w:rFonts w:ascii="Arial" w:hAnsi="Arial" w:cs="Arial"/>
          <w:i/>
          <w:sz w:val="22"/>
          <w:szCs w:val="22"/>
          <w:lang w:val="es-CR"/>
        </w:rPr>
      </w:pPr>
      <w:r w:rsidRPr="00F873EA">
        <w:rPr>
          <w:rFonts w:ascii="Arial" w:hAnsi="Arial" w:cs="Arial"/>
          <w:i/>
          <w:sz w:val="22"/>
          <w:szCs w:val="22"/>
          <w:lang w:val="es-CR"/>
        </w:rPr>
        <w:t>Evacuar las consultas a que se refiere el Artículo 88 de la Constitución Política de la República”.</w:t>
      </w:r>
    </w:p>
    <w:p w:rsidR="00F873EA" w:rsidRPr="00F873EA" w:rsidRDefault="00F873EA" w:rsidP="00F873EA">
      <w:pPr>
        <w:jc w:val="both"/>
        <w:rPr>
          <w:rFonts w:ascii="Arial" w:hAnsi="Arial" w:cs="Arial"/>
          <w:sz w:val="20"/>
          <w:szCs w:val="20"/>
          <w:lang w:val="es-CR"/>
        </w:rPr>
      </w:pPr>
    </w:p>
    <w:p w:rsidR="00F873EA" w:rsidRPr="00F873EA" w:rsidRDefault="00F873EA" w:rsidP="00F873EA">
      <w:pPr>
        <w:numPr>
          <w:ilvl w:val="0"/>
          <w:numId w:val="15"/>
        </w:numPr>
        <w:jc w:val="both"/>
        <w:rPr>
          <w:rFonts w:ascii="Arial" w:hAnsi="Arial" w:cs="Arial"/>
          <w:i/>
          <w:sz w:val="22"/>
          <w:szCs w:val="22"/>
          <w:lang w:val="es-CR" w:eastAsia="es-CR"/>
        </w:rPr>
      </w:pPr>
      <w:r w:rsidRPr="00F873EA">
        <w:rPr>
          <w:rFonts w:ascii="Arial" w:hAnsi="Arial" w:cs="Arial"/>
          <w:lang w:val="es-CR"/>
        </w:rPr>
        <w:t>La Secretaría del Consejo Institucional recibe oficio AL-20992-OFI-0179-2019, con fecha 07 de febrero de 2019, en el cual solicita consultar el Dictamen Afirmativo del Proyecto de Ley del Sistema de Estadística Nacional, Expediente No. 20.404.</w:t>
      </w:r>
    </w:p>
    <w:p w:rsidR="00F873EA" w:rsidRPr="00F873EA" w:rsidRDefault="00F873EA" w:rsidP="00F873EA">
      <w:pPr>
        <w:ind w:left="720"/>
        <w:jc w:val="both"/>
        <w:rPr>
          <w:rFonts w:ascii="Arial" w:hAnsi="Arial" w:cs="Arial"/>
          <w:sz w:val="16"/>
          <w:szCs w:val="16"/>
          <w:lang w:val="es-CR"/>
        </w:rPr>
      </w:pPr>
    </w:p>
    <w:p w:rsidR="00F873EA" w:rsidRPr="00F873EA" w:rsidRDefault="00F873EA" w:rsidP="00F873EA">
      <w:pPr>
        <w:jc w:val="both"/>
        <w:outlineLvl w:val="0"/>
        <w:rPr>
          <w:rFonts w:ascii="Arial" w:hAnsi="Arial" w:cs="Arial"/>
          <w:b/>
          <w:lang w:val="es-CR"/>
        </w:rPr>
      </w:pPr>
      <w:r w:rsidRPr="00F873EA">
        <w:rPr>
          <w:rFonts w:ascii="Arial" w:hAnsi="Arial" w:cs="Arial"/>
          <w:b/>
          <w:lang w:val="es-CR"/>
        </w:rPr>
        <w:t>CONSIDERANDO QUE:</w:t>
      </w:r>
    </w:p>
    <w:p w:rsidR="00F873EA" w:rsidRPr="00F873EA" w:rsidRDefault="00F873EA" w:rsidP="00F873EA">
      <w:pPr>
        <w:jc w:val="both"/>
        <w:outlineLvl w:val="0"/>
        <w:rPr>
          <w:rFonts w:ascii="Arial" w:hAnsi="Arial" w:cs="Arial"/>
          <w:b/>
          <w:lang w:val="es-CR"/>
        </w:rPr>
      </w:pPr>
    </w:p>
    <w:p w:rsidR="00F873EA" w:rsidRPr="00F873EA" w:rsidRDefault="00F873EA" w:rsidP="00F873EA">
      <w:pPr>
        <w:numPr>
          <w:ilvl w:val="0"/>
          <w:numId w:val="34"/>
        </w:numPr>
        <w:jc w:val="both"/>
        <w:rPr>
          <w:rFonts w:ascii="Arial" w:hAnsi="Arial" w:cs="Arial"/>
          <w:lang w:val="es-CR"/>
        </w:rPr>
      </w:pPr>
      <w:r w:rsidRPr="00F873EA">
        <w:rPr>
          <w:rFonts w:ascii="Arial" w:hAnsi="Arial" w:cs="Arial"/>
          <w:lang w:val="es-CR"/>
        </w:rPr>
        <w:t>En Sesión Ordinaria No. 3104 del Consejo Institucional, se conoció la propuesta y se dispuso trasladarla a la Comisión de Estatuto Orgánico, con el fin de que se analice si contiene amenazas a la autonomía universitaria.</w:t>
      </w:r>
    </w:p>
    <w:p w:rsidR="00F873EA" w:rsidRPr="00F873EA" w:rsidRDefault="00F873EA" w:rsidP="00F873EA">
      <w:pPr>
        <w:ind w:left="360"/>
        <w:jc w:val="both"/>
        <w:rPr>
          <w:rFonts w:ascii="Arial" w:hAnsi="Arial" w:cs="Arial"/>
          <w:lang w:val="es-CR"/>
        </w:rPr>
      </w:pPr>
    </w:p>
    <w:p w:rsidR="00F873EA" w:rsidRPr="00F873EA" w:rsidRDefault="00F873EA" w:rsidP="00F873EA">
      <w:pPr>
        <w:numPr>
          <w:ilvl w:val="0"/>
          <w:numId w:val="34"/>
        </w:numPr>
        <w:jc w:val="both"/>
        <w:rPr>
          <w:rFonts w:ascii="Arial" w:hAnsi="Arial" w:cs="Arial"/>
          <w:lang w:val="es-CR"/>
        </w:rPr>
      </w:pPr>
      <w:r w:rsidRPr="00F873EA">
        <w:rPr>
          <w:rFonts w:ascii="Arial" w:hAnsi="Arial" w:cs="Arial"/>
          <w:lang w:val="es-CR"/>
        </w:rPr>
        <w:lastRenderedPageBreak/>
        <w:t>La Secretaría del Consejo Institucional recibe el oficio Asesoría Legal-056-2019, con fecha 18 de febrero de 2019, en el cual remite el criterio sobre el Dictamen Afirmativo del Proyecto de Ley del Sistema de Estadística Nacional, Expediente No. 20.404.</w:t>
      </w:r>
    </w:p>
    <w:p w:rsidR="00F873EA" w:rsidRPr="00F873EA" w:rsidRDefault="00F873EA" w:rsidP="00F873EA">
      <w:pPr>
        <w:jc w:val="both"/>
        <w:rPr>
          <w:rFonts w:ascii="Arial" w:hAnsi="Arial" w:cs="Arial"/>
          <w:sz w:val="16"/>
          <w:szCs w:val="16"/>
          <w:lang w:val="es-CR"/>
        </w:rPr>
      </w:pPr>
    </w:p>
    <w:p w:rsidR="00F873EA" w:rsidRPr="00F873EA" w:rsidRDefault="00F873EA" w:rsidP="00F873EA">
      <w:pPr>
        <w:numPr>
          <w:ilvl w:val="0"/>
          <w:numId w:val="34"/>
        </w:numPr>
        <w:jc w:val="both"/>
        <w:rPr>
          <w:rFonts w:ascii="Arial" w:hAnsi="Arial" w:cs="Arial"/>
          <w:lang w:val="es-CR" w:eastAsia="es-CR"/>
        </w:rPr>
      </w:pPr>
      <w:r w:rsidRPr="00F873EA">
        <w:rPr>
          <w:rFonts w:ascii="Arial" w:hAnsi="Arial" w:cs="Arial"/>
          <w:lang w:val="es-CR" w:eastAsia="es-CR"/>
        </w:rPr>
        <w:t>La Comisión de Estatuto Orgánico, en la reunión No. 294-2019, realizada el 05 de marzo de 2019, revisa “Proyecto de Ley del Sistema de Estadística Nacional, Expediente No. 20.404” y acuerda recomendar al pleno:</w:t>
      </w:r>
    </w:p>
    <w:p w:rsidR="00F873EA" w:rsidRPr="00F873EA" w:rsidRDefault="00F873EA" w:rsidP="00F873EA">
      <w:pPr>
        <w:rPr>
          <w:rFonts w:ascii="Arial" w:hAnsi="Arial" w:cs="Arial"/>
          <w:lang w:val="es-CR" w:eastAsia="es-CR"/>
        </w:rPr>
      </w:pPr>
    </w:p>
    <w:p w:rsidR="00F873EA" w:rsidRPr="00F873EA" w:rsidRDefault="00F873EA" w:rsidP="00F873EA">
      <w:pPr>
        <w:numPr>
          <w:ilvl w:val="0"/>
          <w:numId w:val="38"/>
        </w:numPr>
        <w:jc w:val="both"/>
        <w:rPr>
          <w:rFonts w:ascii="Arial" w:hAnsi="Arial" w:cs="Arial"/>
          <w:sz w:val="22"/>
          <w:szCs w:val="22"/>
          <w:lang w:val="es-CR" w:eastAsia="es-CR"/>
        </w:rPr>
      </w:pPr>
      <w:r w:rsidRPr="00F873EA">
        <w:rPr>
          <w:rFonts w:ascii="Arial" w:hAnsi="Arial" w:cs="Arial"/>
          <w:sz w:val="22"/>
          <w:szCs w:val="22"/>
          <w:lang w:val="es-CR" w:eastAsia="es-CR"/>
        </w:rPr>
        <w:t>Se acoja el pronunciamiento de la Oficina de Asesoría Legal planteado en el oficio Asesoría Legal-056-2019.</w:t>
      </w:r>
    </w:p>
    <w:p w:rsidR="00F873EA" w:rsidRPr="00F873EA" w:rsidRDefault="00F873EA" w:rsidP="00F873EA">
      <w:pPr>
        <w:ind w:left="709"/>
        <w:jc w:val="both"/>
        <w:rPr>
          <w:rFonts w:ascii="Arial" w:hAnsi="Arial" w:cs="Arial"/>
          <w:sz w:val="22"/>
          <w:szCs w:val="22"/>
          <w:lang w:val="es-CR" w:eastAsia="es-CR"/>
        </w:rPr>
      </w:pPr>
    </w:p>
    <w:p w:rsidR="00F873EA" w:rsidRPr="00F873EA" w:rsidRDefault="00F873EA" w:rsidP="00F873EA">
      <w:pPr>
        <w:numPr>
          <w:ilvl w:val="0"/>
          <w:numId w:val="38"/>
        </w:numPr>
        <w:jc w:val="both"/>
        <w:rPr>
          <w:rFonts w:ascii="Arial" w:hAnsi="Arial" w:cs="Arial"/>
          <w:sz w:val="22"/>
          <w:szCs w:val="22"/>
          <w:lang w:val="es-CR" w:eastAsia="es-CR"/>
        </w:rPr>
      </w:pPr>
      <w:r w:rsidRPr="00F873EA">
        <w:rPr>
          <w:rFonts w:ascii="Arial" w:hAnsi="Arial" w:cs="Arial"/>
          <w:sz w:val="22"/>
          <w:szCs w:val="22"/>
          <w:lang w:val="es-CR" w:eastAsia="es-CR"/>
        </w:rPr>
        <w:t xml:space="preserve">Dado que el proyecto plantea el establecimiento de nuevo impuesto del 0.5% sobre las primas de todos los seguros que se venda en el país, se haga el siguiente manifiesto: </w:t>
      </w:r>
    </w:p>
    <w:p w:rsidR="00F873EA" w:rsidRPr="00F873EA" w:rsidRDefault="00F873EA" w:rsidP="00F873EA">
      <w:pPr>
        <w:ind w:left="708"/>
        <w:rPr>
          <w:rFonts w:ascii="Arial" w:hAnsi="Arial" w:cs="Arial"/>
          <w:lang w:val="es-CR" w:eastAsia="es-CR"/>
        </w:rPr>
      </w:pPr>
    </w:p>
    <w:p w:rsidR="00F873EA" w:rsidRPr="00F873EA" w:rsidRDefault="00F873EA" w:rsidP="00F873EA">
      <w:pPr>
        <w:ind w:left="1843" w:right="566"/>
        <w:contextualSpacing/>
        <w:jc w:val="both"/>
        <w:rPr>
          <w:rFonts w:ascii="Arial" w:hAnsi="Arial" w:cs="Arial"/>
          <w:i/>
          <w:sz w:val="20"/>
          <w:szCs w:val="20"/>
          <w:lang w:val="es-CR"/>
        </w:rPr>
      </w:pPr>
      <w:r w:rsidRPr="00F873EA">
        <w:rPr>
          <w:rFonts w:ascii="Arial" w:hAnsi="Arial" w:cs="Arial"/>
          <w:i/>
          <w:sz w:val="20"/>
          <w:szCs w:val="20"/>
          <w:lang w:val="es-CR"/>
        </w:rPr>
        <w:t>El establecimiento de impuestos en Costa Rica se ha priorizado para el cierre del déficit fiscal que atraviesa el país y prioritariamente, significa atender la deuda que en forma creciente está perjudicando el crecimiento de la economía.  Por ello, la Ley 20.580 aprobada por la Asamblea Legislativa señaló como un factor determinando que “La prestación de estos servicios es financiada, en su mayoría, mediante el cobro de impuestos, pero en los últimos años estos ingresos han sido insuficientes para cubrir los compromisos adquiridos con la ciudadanía.”  En este sentido, el establecimiento de un impuesto con destino específico no es recomendable en estas condiciones económicas del país.</w:t>
      </w:r>
    </w:p>
    <w:p w:rsidR="00F873EA" w:rsidRPr="00F873EA" w:rsidRDefault="00F873EA" w:rsidP="00F873EA">
      <w:pPr>
        <w:rPr>
          <w:rFonts w:ascii="Arial" w:hAnsi="Arial" w:cs="Arial"/>
          <w:sz w:val="16"/>
          <w:szCs w:val="16"/>
          <w:lang w:val="es-CR"/>
        </w:rPr>
      </w:pPr>
    </w:p>
    <w:p w:rsidR="00F873EA" w:rsidRPr="00F873EA" w:rsidRDefault="00F873EA" w:rsidP="00F873EA">
      <w:pPr>
        <w:jc w:val="both"/>
        <w:rPr>
          <w:rFonts w:ascii="Arial" w:hAnsi="Arial" w:cs="Arial"/>
          <w:lang w:val="es-CR"/>
        </w:rPr>
      </w:pPr>
      <w:r w:rsidRPr="00F873EA">
        <w:rPr>
          <w:rFonts w:ascii="Arial" w:hAnsi="Arial" w:cs="Arial"/>
          <w:b/>
          <w:lang w:val="es-CR"/>
        </w:rPr>
        <w:t>SE</w:t>
      </w:r>
      <w:r>
        <w:rPr>
          <w:rFonts w:ascii="Arial" w:hAnsi="Arial" w:cs="Arial"/>
          <w:b/>
          <w:lang w:val="es-CR"/>
        </w:rPr>
        <w:t xml:space="preserve"> ACUERDA</w:t>
      </w:r>
      <w:r w:rsidRPr="00F873EA">
        <w:rPr>
          <w:rFonts w:ascii="Arial" w:hAnsi="Arial" w:cs="Arial"/>
          <w:b/>
          <w:lang w:val="es-CR"/>
        </w:rPr>
        <w:t>:</w:t>
      </w:r>
    </w:p>
    <w:p w:rsidR="00F873EA" w:rsidRPr="00F873EA" w:rsidRDefault="00F873EA" w:rsidP="00F873EA">
      <w:pPr>
        <w:jc w:val="both"/>
        <w:rPr>
          <w:rFonts w:ascii="Arial" w:hAnsi="Arial" w:cs="Arial"/>
          <w:sz w:val="16"/>
          <w:szCs w:val="16"/>
          <w:lang w:val="es-ES_tradnl"/>
        </w:rPr>
      </w:pPr>
    </w:p>
    <w:p w:rsidR="00F873EA" w:rsidRPr="00F873EA" w:rsidRDefault="00F873EA" w:rsidP="00F873EA">
      <w:pPr>
        <w:numPr>
          <w:ilvl w:val="0"/>
          <w:numId w:val="35"/>
        </w:numPr>
        <w:autoSpaceDE w:val="0"/>
        <w:autoSpaceDN w:val="0"/>
        <w:adjustRightInd w:val="0"/>
        <w:ind w:left="567" w:right="-518" w:hanging="567"/>
        <w:jc w:val="both"/>
        <w:rPr>
          <w:rFonts w:ascii="Arial" w:hAnsi="Arial" w:cs="Arial"/>
          <w:lang w:val="es-CR"/>
        </w:rPr>
      </w:pPr>
      <w:r w:rsidRPr="00F873EA">
        <w:rPr>
          <w:rFonts w:ascii="Arial" w:hAnsi="Arial" w:cs="Arial"/>
          <w:lang w:val="es-CR"/>
        </w:rPr>
        <w:t>Comunicar a la Comisión Especial que se encargará de conocer y dictaminar Proyectos de Ley requeridos, para lograr la adhesión de Costa Rica a la Organización para la Cooperación y Desarrollo Económico (OCDE), el siguiente criterio:</w:t>
      </w:r>
    </w:p>
    <w:p w:rsidR="00F873EA" w:rsidRPr="00F873EA" w:rsidRDefault="00F873EA" w:rsidP="00F873EA">
      <w:pPr>
        <w:autoSpaceDE w:val="0"/>
        <w:autoSpaceDN w:val="0"/>
        <w:adjustRightInd w:val="0"/>
        <w:ind w:right="-518"/>
        <w:jc w:val="both"/>
        <w:rPr>
          <w:rFonts w:ascii="Arial" w:hAnsi="Arial" w:cs="Arial"/>
          <w:lang w:val="es-CR"/>
        </w:rPr>
      </w:pPr>
    </w:p>
    <w:p w:rsidR="00F873EA" w:rsidRPr="00F873EA" w:rsidRDefault="00F873EA" w:rsidP="00F873EA">
      <w:pPr>
        <w:autoSpaceDE w:val="0"/>
        <w:autoSpaceDN w:val="0"/>
        <w:adjustRightInd w:val="0"/>
        <w:ind w:left="567" w:right="-518"/>
        <w:jc w:val="both"/>
        <w:rPr>
          <w:rFonts w:ascii="Arial" w:hAnsi="Arial" w:cs="Arial"/>
          <w:lang w:val="es-C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2269"/>
        <w:gridCol w:w="1700"/>
        <w:gridCol w:w="4253"/>
      </w:tblGrid>
      <w:tr w:rsidR="00F873EA" w:rsidRPr="00F873EA" w:rsidTr="000773BA">
        <w:tc>
          <w:tcPr>
            <w:tcW w:w="1554" w:type="dxa"/>
            <w:shd w:val="clear" w:color="auto" w:fill="auto"/>
          </w:tcPr>
          <w:p w:rsidR="00F873EA" w:rsidRPr="00F873EA" w:rsidRDefault="00F873EA" w:rsidP="00F873EA">
            <w:pPr>
              <w:autoSpaceDE w:val="0"/>
              <w:autoSpaceDN w:val="0"/>
              <w:adjustRightInd w:val="0"/>
              <w:ind w:right="-91"/>
              <w:jc w:val="center"/>
              <w:rPr>
                <w:rFonts w:ascii="Arial" w:eastAsia="Cambria" w:hAnsi="Arial" w:cs="Arial"/>
                <w:b/>
                <w:sz w:val="22"/>
                <w:szCs w:val="22"/>
                <w:lang w:eastAsia="en-US"/>
              </w:rPr>
            </w:pPr>
            <w:r w:rsidRPr="00F873EA">
              <w:rPr>
                <w:rFonts w:ascii="Arial" w:eastAsia="Cambria" w:hAnsi="Arial" w:cs="Arial"/>
                <w:b/>
                <w:sz w:val="22"/>
                <w:szCs w:val="22"/>
                <w:lang w:eastAsia="en-US"/>
              </w:rPr>
              <w:t>No. Expediente</w:t>
            </w:r>
          </w:p>
        </w:tc>
        <w:tc>
          <w:tcPr>
            <w:tcW w:w="2269" w:type="dxa"/>
            <w:shd w:val="clear" w:color="auto" w:fill="auto"/>
          </w:tcPr>
          <w:p w:rsidR="00F873EA" w:rsidRPr="00F873EA" w:rsidRDefault="00F873EA" w:rsidP="00F873EA">
            <w:pPr>
              <w:autoSpaceDE w:val="0"/>
              <w:autoSpaceDN w:val="0"/>
              <w:adjustRightInd w:val="0"/>
              <w:ind w:right="-91"/>
              <w:jc w:val="center"/>
              <w:rPr>
                <w:rFonts w:ascii="Arial" w:eastAsia="Cambria" w:hAnsi="Arial" w:cs="Arial"/>
                <w:b/>
                <w:sz w:val="22"/>
                <w:szCs w:val="22"/>
                <w:lang w:eastAsia="en-US"/>
              </w:rPr>
            </w:pPr>
            <w:r w:rsidRPr="00F873EA">
              <w:rPr>
                <w:rFonts w:ascii="Arial" w:eastAsia="Cambria" w:hAnsi="Arial" w:cs="Arial"/>
                <w:b/>
                <w:sz w:val="22"/>
                <w:szCs w:val="22"/>
                <w:lang w:eastAsia="en-US"/>
              </w:rPr>
              <w:t>Nombre del Proyecto</w:t>
            </w:r>
          </w:p>
        </w:tc>
        <w:tc>
          <w:tcPr>
            <w:tcW w:w="1700" w:type="dxa"/>
            <w:shd w:val="clear" w:color="auto" w:fill="auto"/>
          </w:tcPr>
          <w:p w:rsidR="00F873EA" w:rsidRPr="00F873EA" w:rsidRDefault="00F873EA" w:rsidP="00F873EA">
            <w:pPr>
              <w:autoSpaceDE w:val="0"/>
              <w:autoSpaceDN w:val="0"/>
              <w:adjustRightInd w:val="0"/>
              <w:ind w:right="-91"/>
              <w:jc w:val="center"/>
              <w:rPr>
                <w:rFonts w:ascii="Arial" w:eastAsia="Cambria" w:hAnsi="Arial" w:cs="Arial"/>
                <w:b/>
                <w:sz w:val="22"/>
                <w:szCs w:val="22"/>
                <w:lang w:eastAsia="en-US"/>
              </w:rPr>
            </w:pPr>
            <w:r w:rsidRPr="00F873EA">
              <w:rPr>
                <w:rFonts w:ascii="Arial" w:eastAsia="Cambria" w:hAnsi="Arial" w:cs="Arial"/>
                <w:b/>
                <w:sz w:val="22"/>
                <w:szCs w:val="22"/>
                <w:lang w:eastAsia="en-US"/>
              </w:rPr>
              <w:t>Transgrede o no la Autonomía Universitaria</w:t>
            </w:r>
          </w:p>
        </w:tc>
        <w:tc>
          <w:tcPr>
            <w:tcW w:w="4253" w:type="dxa"/>
            <w:shd w:val="clear" w:color="auto" w:fill="auto"/>
          </w:tcPr>
          <w:p w:rsidR="00F873EA" w:rsidRPr="00F873EA" w:rsidRDefault="00F873EA" w:rsidP="00F873EA">
            <w:pPr>
              <w:autoSpaceDE w:val="0"/>
              <w:autoSpaceDN w:val="0"/>
              <w:adjustRightInd w:val="0"/>
              <w:ind w:right="-91"/>
              <w:jc w:val="center"/>
              <w:rPr>
                <w:rFonts w:ascii="Arial" w:eastAsia="Cambria" w:hAnsi="Arial" w:cs="Arial"/>
                <w:b/>
                <w:sz w:val="22"/>
                <w:szCs w:val="22"/>
                <w:lang w:eastAsia="en-US"/>
              </w:rPr>
            </w:pPr>
            <w:r w:rsidRPr="00F873EA">
              <w:rPr>
                <w:rFonts w:ascii="Arial" w:eastAsia="Cambria" w:hAnsi="Arial" w:cs="Arial"/>
                <w:b/>
                <w:sz w:val="22"/>
                <w:szCs w:val="22"/>
                <w:lang w:eastAsia="en-US"/>
              </w:rPr>
              <w:t>Observaciones de las diferentes entidades institucionales consultadas</w:t>
            </w:r>
          </w:p>
        </w:tc>
      </w:tr>
      <w:tr w:rsidR="00F873EA" w:rsidRPr="00F873EA" w:rsidTr="000773BA">
        <w:tc>
          <w:tcPr>
            <w:tcW w:w="1554" w:type="dxa"/>
            <w:shd w:val="clear" w:color="auto" w:fill="auto"/>
          </w:tcPr>
          <w:p w:rsidR="00F873EA" w:rsidRPr="00F873EA" w:rsidRDefault="00F873EA" w:rsidP="00F873EA">
            <w:pPr>
              <w:autoSpaceDE w:val="0"/>
              <w:autoSpaceDN w:val="0"/>
              <w:adjustRightInd w:val="0"/>
              <w:ind w:right="-91"/>
              <w:jc w:val="center"/>
              <w:rPr>
                <w:rFonts w:ascii="Arial" w:eastAsia="Cambria" w:hAnsi="Arial" w:cs="Arial"/>
                <w:b/>
                <w:sz w:val="22"/>
                <w:szCs w:val="22"/>
                <w:lang w:eastAsia="en-US"/>
              </w:rPr>
            </w:pPr>
            <w:r w:rsidRPr="00F873EA">
              <w:rPr>
                <w:rFonts w:ascii="Arial" w:eastAsia="Cambria" w:hAnsi="Arial" w:cs="Arial"/>
                <w:b/>
                <w:sz w:val="22"/>
                <w:szCs w:val="22"/>
                <w:lang w:eastAsia="en-US"/>
              </w:rPr>
              <w:t>20.404</w:t>
            </w:r>
          </w:p>
        </w:tc>
        <w:tc>
          <w:tcPr>
            <w:tcW w:w="2269" w:type="dxa"/>
            <w:shd w:val="clear" w:color="auto" w:fill="auto"/>
          </w:tcPr>
          <w:p w:rsidR="00F873EA" w:rsidRPr="00F873EA" w:rsidRDefault="00F873EA" w:rsidP="00F873EA">
            <w:pPr>
              <w:autoSpaceDE w:val="0"/>
              <w:autoSpaceDN w:val="0"/>
              <w:adjustRightInd w:val="0"/>
              <w:ind w:left="-104" w:right="-91"/>
              <w:jc w:val="both"/>
              <w:rPr>
                <w:rFonts w:ascii="Arial" w:eastAsia="Cambria" w:hAnsi="Arial" w:cs="Arial"/>
                <w:b/>
                <w:sz w:val="22"/>
                <w:szCs w:val="22"/>
                <w:lang w:eastAsia="en-US"/>
              </w:rPr>
            </w:pPr>
            <w:r w:rsidRPr="00F873EA">
              <w:rPr>
                <w:rFonts w:ascii="Arial" w:eastAsia="Cambria" w:hAnsi="Arial" w:cs="Arial"/>
                <w:b/>
                <w:sz w:val="22"/>
                <w:szCs w:val="22"/>
                <w:lang w:eastAsia="en-US"/>
              </w:rPr>
              <w:t xml:space="preserve">Dictamen Afirmativo del Proyecto de Ley del Sistema de Estadística Nacional, Expediente 20.404 </w:t>
            </w:r>
          </w:p>
        </w:tc>
        <w:tc>
          <w:tcPr>
            <w:tcW w:w="1700" w:type="dxa"/>
            <w:shd w:val="clear" w:color="auto" w:fill="auto"/>
          </w:tcPr>
          <w:p w:rsidR="00F873EA" w:rsidRPr="00F873EA" w:rsidRDefault="00F873EA" w:rsidP="00F873EA">
            <w:pPr>
              <w:autoSpaceDE w:val="0"/>
              <w:autoSpaceDN w:val="0"/>
              <w:adjustRightInd w:val="0"/>
              <w:ind w:right="-91"/>
              <w:jc w:val="center"/>
              <w:rPr>
                <w:rFonts w:ascii="Arial" w:eastAsia="Cambria" w:hAnsi="Arial" w:cs="Arial"/>
                <w:sz w:val="22"/>
                <w:szCs w:val="22"/>
                <w:lang w:eastAsia="en-US"/>
              </w:rPr>
            </w:pPr>
            <w:r w:rsidRPr="00F873EA">
              <w:rPr>
                <w:rFonts w:ascii="Arial" w:eastAsia="Cambria" w:hAnsi="Arial" w:cs="Arial"/>
                <w:sz w:val="22"/>
                <w:szCs w:val="22"/>
                <w:lang w:eastAsia="en-US"/>
              </w:rPr>
              <w:t>No</w:t>
            </w:r>
          </w:p>
        </w:tc>
        <w:tc>
          <w:tcPr>
            <w:tcW w:w="4253" w:type="dxa"/>
            <w:shd w:val="clear" w:color="auto" w:fill="auto"/>
          </w:tcPr>
          <w:p w:rsidR="00F873EA" w:rsidRPr="00F873EA" w:rsidRDefault="00F873EA" w:rsidP="00F873EA">
            <w:pPr>
              <w:autoSpaceDE w:val="0"/>
              <w:autoSpaceDN w:val="0"/>
              <w:adjustRightInd w:val="0"/>
              <w:ind w:right="-91"/>
              <w:rPr>
                <w:rFonts w:ascii="Arial" w:eastAsia="Cambria" w:hAnsi="Arial" w:cs="Arial"/>
                <w:b/>
                <w:sz w:val="22"/>
                <w:szCs w:val="22"/>
                <w:u w:val="single"/>
                <w:lang w:eastAsia="en-US"/>
              </w:rPr>
            </w:pPr>
            <w:r w:rsidRPr="00F873EA">
              <w:rPr>
                <w:rFonts w:ascii="Arial" w:eastAsia="Cambria" w:hAnsi="Arial" w:cs="Arial"/>
                <w:b/>
                <w:sz w:val="22"/>
                <w:szCs w:val="22"/>
                <w:u w:val="single"/>
                <w:lang w:eastAsia="en-US"/>
              </w:rPr>
              <w:t>Oficina de Asesoría Legal</w:t>
            </w:r>
          </w:p>
          <w:p w:rsidR="00F873EA" w:rsidRPr="00F873EA" w:rsidRDefault="00F873EA" w:rsidP="00F873EA">
            <w:pPr>
              <w:contextualSpacing/>
              <w:jc w:val="both"/>
              <w:rPr>
                <w:rFonts w:ascii="Arial" w:hAnsi="Arial" w:cs="Arial"/>
                <w:b/>
                <w:sz w:val="22"/>
                <w:szCs w:val="22"/>
                <w:lang w:val="es-ES_tradnl" w:eastAsia="es-CR"/>
              </w:rPr>
            </w:pPr>
            <w:r w:rsidRPr="00F873EA">
              <w:rPr>
                <w:rFonts w:ascii="Arial" w:hAnsi="Arial" w:cs="Arial"/>
                <w:b/>
                <w:sz w:val="22"/>
                <w:szCs w:val="22"/>
                <w:lang w:val="es-ES_tradnl" w:eastAsia="es-CR"/>
              </w:rPr>
              <w:t>Observaciones:</w:t>
            </w:r>
          </w:p>
          <w:p w:rsidR="00F873EA" w:rsidRPr="00F873EA" w:rsidRDefault="00F873EA" w:rsidP="00F873EA">
            <w:pPr>
              <w:contextualSpacing/>
              <w:jc w:val="both"/>
              <w:rPr>
                <w:rFonts w:ascii="Arial" w:hAnsi="Arial" w:cs="Arial"/>
                <w:b/>
                <w:sz w:val="22"/>
                <w:szCs w:val="22"/>
                <w:lang w:val="es-ES_tradnl" w:eastAsia="es-CR"/>
              </w:rPr>
            </w:pPr>
          </w:p>
          <w:p w:rsidR="00F873EA" w:rsidRPr="00F873EA" w:rsidRDefault="00F873EA" w:rsidP="00F873EA">
            <w:pPr>
              <w:numPr>
                <w:ilvl w:val="0"/>
                <w:numId w:val="36"/>
              </w:numPr>
              <w:spacing w:after="160" w:line="259" w:lineRule="auto"/>
              <w:ind w:left="319" w:hanging="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En la exposición de motivos del presente dictamen, la Organización para la Cooperación y el Desarrollo Económico (OCDE), indica que el sistema estadístico costarricense carece de ciertas reformas que, mediante esta propuesta de ley, vendría a dar las herramientas necesarias para un sistema estadístico más acorde con la realidad actual.</w:t>
            </w:r>
          </w:p>
          <w:p w:rsidR="00F873EA" w:rsidRPr="00F873EA" w:rsidRDefault="00F873EA" w:rsidP="00F873EA">
            <w:pPr>
              <w:ind w:left="1080"/>
              <w:contextualSpacing/>
              <w:jc w:val="both"/>
              <w:rPr>
                <w:rFonts w:ascii="Arial" w:eastAsia="Cambria" w:hAnsi="Arial" w:cs="Arial"/>
                <w:sz w:val="22"/>
                <w:szCs w:val="22"/>
                <w:lang w:val="es-ES_tradnl" w:eastAsia="en-US"/>
              </w:rPr>
            </w:pPr>
          </w:p>
          <w:p w:rsidR="00F873EA" w:rsidRPr="00F873EA" w:rsidRDefault="00F873EA" w:rsidP="00F873EA">
            <w:pPr>
              <w:numPr>
                <w:ilvl w:val="0"/>
                <w:numId w:val="36"/>
              </w:numPr>
              <w:spacing w:after="160" w:line="259" w:lineRule="auto"/>
              <w:ind w:left="319" w:hanging="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lastRenderedPageBreak/>
              <w:t xml:space="preserve">Unido a lo anterior, se pretende con este </w:t>
            </w:r>
            <w:r w:rsidRPr="00F873EA">
              <w:rPr>
                <w:rFonts w:ascii="Arial" w:hAnsi="Arial" w:cs="Arial"/>
                <w:sz w:val="22"/>
                <w:szCs w:val="22"/>
              </w:rPr>
              <w:t>proyecto de ley otorga al INEC de un mandato definitivo para ejercer la rectoría del Sistema Estadístico Nacional. Así mismo se le concede mayor financiamiento a través del establecimiento de un nuevo impuesto de 0.5 % sobre las primas de todos los seguros que se vendan en el país.</w:t>
            </w:r>
          </w:p>
          <w:p w:rsidR="00F873EA" w:rsidRPr="00F873EA" w:rsidRDefault="00F873EA" w:rsidP="00F873EA">
            <w:pPr>
              <w:ind w:left="720"/>
              <w:contextualSpacing/>
              <w:rPr>
                <w:rFonts w:ascii="Arial" w:eastAsia="Cambria" w:hAnsi="Arial" w:cs="Arial"/>
                <w:sz w:val="22"/>
                <w:szCs w:val="22"/>
                <w:lang w:val="es-ES_tradnl" w:eastAsia="en-US"/>
              </w:rPr>
            </w:pPr>
          </w:p>
          <w:p w:rsidR="00F873EA" w:rsidRPr="00F873EA" w:rsidRDefault="00F873EA" w:rsidP="00F873EA">
            <w:pPr>
              <w:numPr>
                <w:ilvl w:val="0"/>
                <w:numId w:val="36"/>
              </w:numPr>
              <w:spacing w:after="160" w:line="259" w:lineRule="auto"/>
              <w:ind w:left="319" w:hanging="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 xml:space="preserve">En el artículo 26, crea el Consejo Nacional Consultivo de Estadística, como un órgano consultivo de los usuarios de las estadísticas. En este Consejo estarán representadas las instituciones del sector público, organizaciones empresariales e instituciones sociales, económicas y académicas. </w:t>
            </w:r>
          </w:p>
          <w:p w:rsidR="00F873EA" w:rsidRPr="00F873EA" w:rsidRDefault="00F873EA" w:rsidP="00F873EA">
            <w:pPr>
              <w:ind w:left="720"/>
              <w:contextualSpacing/>
              <w:rPr>
                <w:rFonts w:ascii="Arial" w:eastAsia="Cambria" w:hAnsi="Arial" w:cs="Arial"/>
                <w:sz w:val="22"/>
                <w:szCs w:val="22"/>
                <w:lang w:val="es-ES_tradnl" w:eastAsia="en-US"/>
              </w:rPr>
            </w:pPr>
          </w:p>
          <w:p w:rsidR="00F873EA" w:rsidRPr="00F873EA" w:rsidRDefault="00F873EA" w:rsidP="00F873EA">
            <w:pPr>
              <w:numPr>
                <w:ilvl w:val="0"/>
                <w:numId w:val="36"/>
              </w:numPr>
              <w:spacing w:after="160" w:line="259" w:lineRule="auto"/>
              <w:ind w:left="319" w:hanging="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En el artículo 27, donde hace mención a la integración del Consejo Nacional Consultivo de Estadística es así que   en el inciso e)</w:t>
            </w:r>
            <w:r w:rsidRPr="00F873EA">
              <w:rPr>
                <w:rFonts w:ascii="Arial" w:eastAsia="Cambria" w:hAnsi="Arial" w:cs="Arial"/>
                <w:sz w:val="22"/>
                <w:szCs w:val="22"/>
                <w:lang w:val="es-ES_tradnl" w:eastAsia="en-US"/>
              </w:rPr>
              <w:tab/>
              <w:t>Dos representantes del Consejo Nacional de Rectores, con rango de catedrático o director de unidad académica o centro de investigación, designado por este Consejo.</w:t>
            </w:r>
            <w:r w:rsidRPr="00F873EA">
              <w:rPr>
                <w:rFonts w:ascii="Cambria" w:eastAsia="Cambria" w:hAnsi="Cambria"/>
                <w:sz w:val="22"/>
                <w:szCs w:val="22"/>
                <w:lang w:val="es-ES_tradnl" w:eastAsia="en-US"/>
              </w:rPr>
              <w:t xml:space="preserve"> </w:t>
            </w:r>
          </w:p>
          <w:p w:rsidR="00F873EA" w:rsidRPr="00F873EA" w:rsidRDefault="00F873EA" w:rsidP="00F873EA">
            <w:pPr>
              <w:ind w:left="1080"/>
              <w:contextualSpacing/>
              <w:jc w:val="both"/>
              <w:rPr>
                <w:rFonts w:ascii="Cambria" w:eastAsia="Cambria" w:hAnsi="Cambria"/>
                <w:sz w:val="22"/>
                <w:szCs w:val="22"/>
                <w:lang w:val="es-ES_tradnl" w:eastAsia="en-US"/>
              </w:rPr>
            </w:pPr>
          </w:p>
          <w:p w:rsidR="00F873EA" w:rsidRPr="00F873EA" w:rsidRDefault="00F873EA" w:rsidP="00F873EA">
            <w:pPr>
              <w:spacing w:after="160" w:line="259" w:lineRule="auto"/>
              <w:ind w:left="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En la sección II del proyecto dictaminado, “El Consejo Directivo” en el artículo 39, este Consejo Directivo del Instituto Nacional de Estadística y Censos (INEC) Consejo Directivo del INEC al que se refiere la presente ley (CDINEC) es la autoridad máxima del INEC. Estará conformado por cinco personas. Deben ser profesionales, académicos o investigadores en materia estadística, económica o social o en otro campo disciplinario en el que se dé una amplia utilización de las estadísticas oficiales y cuya idoneidad garantice el debido funcionamiento del CDINEC. Las personas designadas deberán contar al menos con un grado universitario de licenciatura. Involucrando.</w:t>
            </w:r>
          </w:p>
          <w:p w:rsidR="00F873EA" w:rsidRPr="00F873EA" w:rsidRDefault="00F873EA" w:rsidP="00F873EA">
            <w:pPr>
              <w:ind w:left="1080"/>
              <w:contextualSpacing/>
              <w:jc w:val="both"/>
              <w:rPr>
                <w:rFonts w:ascii="Arial" w:eastAsia="Cambria" w:hAnsi="Arial" w:cs="Arial"/>
                <w:sz w:val="22"/>
                <w:szCs w:val="22"/>
                <w:lang w:val="es-ES_tradnl" w:eastAsia="en-US"/>
              </w:rPr>
            </w:pPr>
          </w:p>
          <w:p w:rsidR="00F873EA" w:rsidRPr="00F873EA" w:rsidRDefault="00F873EA" w:rsidP="00F873EA">
            <w:pPr>
              <w:ind w:left="1080"/>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w:t>
            </w:r>
          </w:p>
          <w:p w:rsidR="00F873EA" w:rsidRPr="00F873EA" w:rsidRDefault="00F873EA" w:rsidP="00F873EA">
            <w:pPr>
              <w:ind w:left="1080"/>
              <w:contextualSpacing/>
              <w:jc w:val="both"/>
              <w:rPr>
                <w:rFonts w:ascii="Arial" w:eastAsia="Cambria" w:hAnsi="Arial" w:cs="Arial"/>
                <w:sz w:val="22"/>
                <w:szCs w:val="22"/>
                <w:lang w:val="es-ES_tradnl" w:eastAsia="en-US"/>
              </w:rPr>
            </w:pPr>
          </w:p>
          <w:p w:rsidR="00F873EA" w:rsidRPr="00F873EA" w:rsidRDefault="00F873EA" w:rsidP="00F873EA">
            <w:pPr>
              <w:spacing w:after="160" w:line="259" w:lineRule="auto"/>
              <w:ind w:left="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 xml:space="preserve"> En el inciso d) a dos integrantes por el Consejo Nacional de Rectores.</w:t>
            </w:r>
          </w:p>
          <w:p w:rsidR="00F873EA" w:rsidRPr="00F873EA" w:rsidRDefault="00F873EA" w:rsidP="00F873EA">
            <w:pPr>
              <w:ind w:left="1080"/>
              <w:contextualSpacing/>
              <w:jc w:val="both"/>
              <w:rPr>
                <w:rFonts w:ascii="Arial" w:eastAsia="Cambria" w:hAnsi="Arial" w:cs="Arial"/>
                <w:sz w:val="22"/>
                <w:szCs w:val="22"/>
                <w:lang w:val="es-ES_tradnl" w:eastAsia="en-US"/>
              </w:rPr>
            </w:pPr>
          </w:p>
          <w:p w:rsidR="00F873EA" w:rsidRPr="00F873EA" w:rsidRDefault="00F873EA" w:rsidP="00F873EA">
            <w:pPr>
              <w:numPr>
                <w:ilvl w:val="0"/>
                <w:numId w:val="36"/>
              </w:numPr>
              <w:spacing w:after="160" w:line="259" w:lineRule="auto"/>
              <w:ind w:left="319" w:hanging="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La OCDE en cuanto al marco legal e institucional claramente definido indica que se debe de fortalecer la rectoría del INEC sobre el Sistema de Estadística Nacional (SEN), establecer mecanismos de coordinación y   planificación estadística.</w:t>
            </w:r>
          </w:p>
          <w:p w:rsidR="00F873EA" w:rsidRPr="00F873EA" w:rsidRDefault="00F873EA" w:rsidP="00F873EA">
            <w:pPr>
              <w:ind w:left="1080"/>
              <w:contextualSpacing/>
              <w:jc w:val="both"/>
              <w:rPr>
                <w:rFonts w:ascii="Arial" w:eastAsia="Cambria" w:hAnsi="Arial" w:cs="Arial"/>
                <w:sz w:val="22"/>
                <w:szCs w:val="22"/>
                <w:lang w:val="es-ES_tradnl" w:eastAsia="en-US"/>
              </w:rPr>
            </w:pPr>
          </w:p>
          <w:p w:rsidR="00F873EA" w:rsidRPr="00F873EA" w:rsidRDefault="00F873EA" w:rsidP="00F873EA">
            <w:pPr>
              <w:spacing w:after="160" w:line="259" w:lineRule="auto"/>
              <w:ind w:left="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También asegura que el INEC goce de recursos adecuados y financiamiento a largo plazo para ejercer su rol de rectoría y atender los compromisos nacionales e internacionales de producción estadística.</w:t>
            </w:r>
          </w:p>
          <w:p w:rsidR="00F873EA" w:rsidRPr="00F873EA" w:rsidRDefault="00F873EA" w:rsidP="00F873EA">
            <w:pPr>
              <w:ind w:left="1080"/>
              <w:contextualSpacing/>
              <w:jc w:val="both"/>
              <w:rPr>
                <w:rFonts w:ascii="Arial" w:eastAsia="Cambria" w:hAnsi="Arial" w:cs="Arial"/>
                <w:sz w:val="22"/>
                <w:szCs w:val="22"/>
                <w:lang w:val="es-ES_tradnl" w:eastAsia="en-US"/>
              </w:rPr>
            </w:pPr>
          </w:p>
          <w:p w:rsidR="00F873EA" w:rsidRPr="00F873EA" w:rsidRDefault="00F873EA" w:rsidP="00F873EA">
            <w:pPr>
              <w:spacing w:after="160" w:line="259" w:lineRule="auto"/>
              <w:ind w:left="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Menciona en cuanto al avance en una organización institucional basada en procesos y el desarrollo de sistemas de gestión de calidad, así como un mandato claro a las entidades estadísticas para recopilar los datos necesarios para producir las estadísticas encomendadas y a la autoridad para obligar a los encuestados e instituciones a cumplir con las solicitudes de datos y protección de la confidencialidad de los datos</w:t>
            </w:r>
          </w:p>
          <w:p w:rsidR="00F873EA" w:rsidRPr="00F873EA" w:rsidRDefault="00F873EA" w:rsidP="00F873EA">
            <w:pPr>
              <w:ind w:left="1080"/>
              <w:contextualSpacing/>
              <w:jc w:val="both"/>
              <w:rPr>
                <w:rFonts w:ascii="Arial" w:eastAsia="Cambria" w:hAnsi="Arial" w:cs="Arial"/>
                <w:sz w:val="22"/>
                <w:szCs w:val="22"/>
                <w:lang w:val="es-ES_tradnl" w:eastAsia="en-US"/>
              </w:rPr>
            </w:pPr>
          </w:p>
          <w:p w:rsidR="00F873EA" w:rsidRPr="00F873EA" w:rsidRDefault="00F873EA" w:rsidP="00F873EA">
            <w:pPr>
              <w:numPr>
                <w:ilvl w:val="0"/>
                <w:numId w:val="36"/>
              </w:numPr>
              <w:spacing w:after="160" w:line="259" w:lineRule="auto"/>
              <w:ind w:left="319" w:hanging="319"/>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 xml:space="preserve">Analizado el presente dictamen no se encuentran injerencias en el ámbito de la Autonomía Universitaria del Instituto Tecnológico de Costa Rica en cuanto a la reserva legal que pretende la derogatoria de la Ley N.° 7839, Ley del Sistema de Estadística Nacional del 4 de noviembre de 1998, y en su lugar proponer una nueva Ley. </w:t>
            </w:r>
          </w:p>
          <w:p w:rsidR="00F873EA" w:rsidRPr="00F873EA" w:rsidRDefault="00F873EA" w:rsidP="00F873EA">
            <w:pPr>
              <w:ind w:left="720"/>
              <w:contextualSpacing/>
              <w:jc w:val="both"/>
              <w:rPr>
                <w:rFonts w:ascii="Arial" w:eastAsia="Cambria" w:hAnsi="Arial" w:cs="Arial"/>
                <w:sz w:val="22"/>
                <w:szCs w:val="22"/>
                <w:lang w:val="es-ES_tradnl" w:eastAsia="en-US"/>
              </w:rPr>
            </w:pPr>
          </w:p>
          <w:p w:rsidR="00F873EA" w:rsidRPr="00F873EA" w:rsidRDefault="00F873EA" w:rsidP="00F873EA">
            <w:pPr>
              <w:jc w:val="both"/>
              <w:rPr>
                <w:rFonts w:ascii="Arial" w:eastAsia="Cambria" w:hAnsi="Arial" w:cs="Arial"/>
                <w:b/>
                <w:sz w:val="22"/>
                <w:szCs w:val="22"/>
                <w:lang w:val="es-ES_tradnl" w:eastAsia="en-US"/>
              </w:rPr>
            </w:pPr>
            <w:r w:rsidRPr="00F873EA">
              <w:rPr>
                <w:rFonts w:ascii="Arial" w:eastAsia="Cambria" w:hAnsi="Arial" w:cs="Arial"/>
                <w:b/>
                <w:sz w:val="22"/>
                <w:szCs w:val="22"/>
                <w:lang w:val="es-ES_tradnl" w:eastAsia="en-US"/>
              </w:rPr>
              <w:t xml:space="preserve">III.- Recomendaciones no vinculantes </w:t>
            </w:r>
          </w:p>
          <w:p w:rsidR="00F873EA" w:rsidRPr="00F873EA" w:rsidRDefault="00F873EA" w:rsidP="00F873EA">
            <w:pPr>
              <w:jc w:val="both"/>
              <w:rPr>
                <w:rFonts w:ascii="Arial" w:eastAsia="Cambria" w:hAnsi="Arial" w:cs="Arial"/>
                <w:b/>
                <w:sz w:val="22"/>
                <w:szCs w:val="22"/>
                <w:lang w:val="es-ES_tradnl" w:eastAsia="en-US"/>
              </w:rPr>
            </w:pPr>
          </w:p>
          <w:p w:rsidR="00F873EA" w:rsidRPr="00F873EA" w:rsidRDefault="00F873EA" w:rsidP="00F873EA">
            <w:pPr>
              <w:numPr>
                <w:ilvl w:val="0"/>
                <w:numId w:val="37"/>
              </w:numPr>
              <w:spacing w:after="160" w:line="259" w:lineRule="auto"/>
              <w:ind w:left="461" w:hanging="426"/>
              <w:contextualSpacing/>
              <w:jc w:val="both"/>
              <w:rPr>
                <w:rFonts w:ascii="Arial" w:eastAsia="Cambria" w:hAnsi="Arial" w:cs="Arial"/>
                <w:sz w:val="22"/>
                <w:szCs w:val="22"/>
                <w:lang w:val="es-ES_tradnl" w:eastAsia="en-US"/>
              </w:rPr>
            </w:pPr>
            <w:r w:rsidRPr="00F873EA">
              <w:rPr>
                <w:rFonts w:ascii="Arial" w:eastAsia="Cambria" w:hAnsi="Arial" w:cs="Arial"/>
                <w:sz w:val="22"/>
                <w:szCs w:val="22"/>
                <w:lang w:val="es-ES_tradnl" w:eastAsia="en-US"/>
              </w:rPr>
              <w:t xml:space="preserve">El presente proyecto de ley no atenta, ni va en detrimento de la Autonomía Universitaria consagrada en el artículo 84 de la Constitución </w:t>
            </w:r>
            <w:r w:rsidRPr="00F873EA">
              <w:rPr>
                <w:rFonts w:ascii="Arial" w:eastAsia="Cambria" w:hAnsi="Arial" w:cs="Arial"/>
                <w:sz w:val="22"/>
                <w:szCs w:val="22"/>
                <w:lang w:val="es-ES_tradnl" w:eastAsia="en-US"/>
              </w:rPr>
              <w:lastRenderedPageBreak/>
              <w:t>Política, basado en este aspecto se considera que puede apoyarse.</w:t>
            </w:r>
          </w:p>
          <w:p w:rsidR="00F873EA" w:rsidRPr="00F873EA" w:rsidRDefault="00F873EA" w:rsidP="00F873EA">
            <w:pPr>
              <w:jc w:val="both"/>
              <w:rPr>
                <w:rFonts w:ascii="Arial" w:hAnsi="Arial" w:cs="Arial"/>
                <w:b/>
                <w:color w:val="7030A0"/>
                <w:sz w:val="22"/>
                <w:szCs w:val="22"/>
                <w:lang w:val="es-ES_tradnl"/>
              </w:rPr>
            </w:pPr>
          </w:p>
        </w:tc>
      </w:tr>
      <w:tr w:rsidR="00F873EA" w:rsidRPr="00F873EA" w:rsidTr="000773BA">
        <w:tc>
          <w:tcPr>
            <w:tcW w:w="1554" w:type="dxa"/>
            <w:shd w:val="clear" w:color="auto" w:fill="auto"/>
          </w:tcPr>
          <w:p w:rsidR="00F873EA" w:rsidRPr="00F873EA" w:rsidRDefault="00F873EA" w:rsidP="00F873EA">
            <w:pPr>
              <w:autoSpaceDE w:val="0"/>
              <w:autoSpaceDN w:val="0"/>
              <w:adjustRightInd w:val="0"/>
              <w:ind w:right="-91"/>
              <w:jc w:val="center"/>
              <w:rPr>
                <w:rFonts w:ascii="Arial" w:eastAsia="Cambria" w:hAnsi="Arial" w:cs="Arial"/>
                <w:b/>
                <w:sz w:val="22"/>
                <w:szCs w:val="22"/>
                <w:lang w:eastAsia="en-US"/>
              </w:rPr>
            </w:pPr>
          </w:p>
        </w:tc>
        <w:tc>
          <w:tcPr>
            <w:tcW w:w="2269" w:type="dxa"/>
            <w:shd w:val="clear" w:color="auto" w:fill="auto"/>
          </w:tcPr>
          <w:p w:rsidR="00F873EA" w:rsidRPr="00F873EA" w:rsidRDefault="00F873EA" w:rsidP="00F873EA">
            <w:pPr>
              <w:autoSpaceDE w:val="0"/>
              <w:autoSpaceDN w:val="0"/>
              <w:adjustRightInd w:val="0"/>
              <w:ind w:left="-104" w:right="-91"/>
              <w:jc w:val="both"/>
              <w:rPr>
                <w:rFonts w:ascii="Arial" w:eastAsia="Cambria" w:hAnsi="Arial" w:cs="Arial"/>
                <w:b/>
                <w:sz w:val="22"/>
                <w:szCs w:val="22"/>
                <w:lang w:eastAsia="en-US"/>
              </w:rPr>
            </w:pPr>
          </w:p>
        </w:tc>
        <w:tc>
          <w:tcPr>
            <w:tcW w:w="1700" w:type="dxa"/>
            <w:shd w:val="clear" w:color="auto" w:fill="auto"/>
          </w:tcPr>
          <w:p w:rsidR="00F873EA" w:rsidRPr="00F873EA" w:rsidRDefault="00F873EA" w:rsidP="00F873EA">
            <w:pPr>
              <w:autoSpaceDE w:val="0"/>
              <w:autoSpaceDN w:val="0"/>
              <w:adjustRightInd w:val="0"/>
              <w:ind w:right="-91"/>
              <w:jc w:val="center"/>
              <w:rPr>
                <w:rFonts w:ascii="Arial" w:eastAsia="Cambria" w:hAnsi="Arial" w:cs="Arial"/>
                <w:sz w:val="22"/>
                <w:szCs w:val="22"/>
                <w:lang w:eastAsia="en-US"/>
              </w:rPr>
            </w:pPr>
            <w:r w:rsidRPr="00F873EA">
              <w:rPr>
                <w:rFonts w:ascii="Arial" w:eastAsia="Cambria" w:hAnsi="Arial" w:cs="Arial"/>
                <w:sz w:val="22"/>
                <w:szCs w:val="22"/>
                <w:lang w:eastAsia="en-US"/>
              </w:rPr>
              <w:t>No</w:t>
            </w:r>
          </w:p>
        </w:tc>
        <w:tc>
          <w:tcPr>
            <w:tcW w:w="4253" w:type="dxa"/>
            <w:shd w:val="clear" w:color="auto" w:fill="auto"/>
          </w:tcPr>
          <w:p w:rsidR="00F873EA" w:rsidRPr="00F873EA" w:rsidRDefault="00F873EA" w:rsidP="00F873EA">
            <w:pPr>
              <w:jc w:val="both"/>
              <w:rPr>
                <w:rFonts w:ascii="Arial" w:hAnsi="Arial" w:cs="Arial"/>
                <w:b/>
                <w:sz w:val="22"/>
                <w:szCs w:val="22"/>
                <w:lang w:val="es-ES_tradnl"/>
              </w:rPr>
            </w:pPr>
            <w:r w:rsidRPr="00F873EA">
              <w:rPr>
                <w:rFonts w:ascii="Arial" w:hAnsi="Arial" w:cs="Arial"/>
                <w:b/>
                <w:sz w:val="22"/>
                <w:szCs w:val="22"/>
                <w:lang w:val="es-ES_tradnl"/>
              </w:rPr>
              <w:t>Pleno del Consejo Institucional</w:t>
            </w:r>
          </w:p>
          <w:p w:rsidR="00F873EA" w:rsidRPr="00F873EA" w:rsidRDefault="00F873EA" w:rsidP="00F873EA">
            <w:pPr>
              <w:jc w:val="both"/>
              <w:rPr>
                <w:rFonts w:ascii="Arial" w:hAnsi="Arial" w:cs="Arial"/>
                <w:b/>
                <w:sz w:val="22"/>
                <w:szCs w:val="22"/>
                <w:lang w:val="es-ES_tradnl"/>
              </w:rPr>
            </w:pPr>
          </w:p>
          <w:p w:rsidR="00F873EA" w:rsidRPr="00F873EA" w:rsidRDefault="00F873EA" w:rsidP="00F873EA">
            <w:pPr>
              <w:numPr>
                <w:ilvl w:val="0"/>
                <w:numId w:val="38"/>
              </w:numPr>
              <w:ind w:left="457"/>
              <w:jc w:val="both"/>
              <w:rPr>
                <w:rFonts w:ascii="Arial" w:hAnsi="Arial" w:cs="Arial"/>
                <w:sz w:val="22"/>
                <w:szCs w:val="22"/>
                <w:lang w:val="es-CR" w:eastAsia="es-CR"/>
              </w:rPr>
            </w:pPr>
            <w:r w:rsidRPr="00F873EA">
              <w:rPr>
                <w:rFonts w:ascii="Arial" w:hAnsi="Arial" w:cs="Arial"/>
                <w:sz w:val="22"/>
                <w:szCs w:val="22"/>
                <w:lang w:val="es-CR" w:eastAsia="es-CR"/>
              </w:rPr>
              <w:t>Manifestar sobre la propuesta de establecer un nuevo impuesto del 0.5% sobre las primas de todos los seguros que se venda en el país, lo siguiente:</w:t>
            </w:r>
          </w:p>
          <w:p w:rsidR="00F873EA" w:rsidRPr="00F873EA" w:rsidRDefault="00F873EA" w:rsidP="00F873EA">
            <w:pPr>
              <w:ind w:left="708"/>
              <w:jc w:val="both"/>
              <w:rPr>
                <w:rFonts w:ascii="Arial" w:hAnsi="Arial" w:cs="Arial"/>
                <w:sz w:val="22"/>
                <w:szCs w:val="22"/>
                <w:lang w:val="es-CR" w:eastAsia="es-CR"/>
              </w:rPr>
            </w:pPr>
          </w:p>
          <w:p w:rsidR="00F873EA" w:rsidRPr="00F873EA" w:rsidRDefault="00F873EA" w:rsidP="00F873EA">
            <w:pPr>
              <w:autoSpaceDE w:val="0"/>
              <w:autoSpaceDN w:val="0"/>
              <w:adjustRightInd w:val="0"/>
              <w:ind w:right="-91"/>
              <w:jc w:val="both"/>
              <w:rPr>
                <w:rFonts w:ascii="Arial" w:eastAsia="Cambria" w:hAnsi="Arial" w:cs="Arial"/>
                <w:b/>
                <w:sz w:val="22"/>
                <w:szCs w:val="22"/>
                <w:u w:val="single"/>
                <w:lang w:eastAsia="en-US"/>
              </w:rPr>
            </w:pPr>
            <w:r w:rsidRPr="00F873EA">
              <w:rPr>
                <w:rFonts w:ascii="Arial" w:hAnsi="Arial" w:cs="Arial"/>
                <w:i/>
                <w:sz w:val="22"/>
                <w:szCs w:val="22"/>
                <w:lang w:val="es-CR"/>
              </w:rPr>
              <w:t>El establecimiento de impuestos en Costa Rica se ha priorizado para el cierre del déficit fiscal que atraviesa el país y prioritariamente, significa atender la deuda que en forma creciente está perjudicando el crecimiento de la economía.  Por ello, la Ley 9635 aprobada por la Asamblea Legislativa señaló como un factor determinando que “La prestación de estos servicios es financiada, en su mayoría, mediante el cobro de impuestos, pero en los últimos años estos ingresos han sido insuficientes para cubrir los compromisos adquiridos con la ciudadanía.”  En este sentido, el establecimiento de un impuesto con destino específico no es conveniente en estas condiciones económicas del país.</w:t>
            </w:r>
          </w:p>
        </w:tc>
      </w:tr>
    </w:tbl>
    <w:p w:rsidR="00F873EA" w:rsidRPr="00F873EA" w:rsidRDefault="00F873EA" w:rsidP="00F873EA">
      <w:pPr>
        <w:ind w:left="426"/>
        <w:contextualSpacing/>
        <w:jc w:val="both"/>
        <w:rPr>
          <w:rFonts w:ascii="Arial" w:hAnsi="Arial" w:cs="Arial"/>
          <w:lang w:val="es-CR"/>
        </w:rPr>
      </w:pPr>
    </w:p>
    <w:p w:rsidR="00C90F7F" w:rsidRPr="00F873EA" w:rsidRDefault="00F873EA" w:rsidP="007742A1">
      <w:pPr>
        <w:numPr>
          <w:ilvl w:val="0"/>
          <w:numId w:val="35"/>
        </w:numPr>
        <w:autoSpaceDE w:val="0"/>
        <w:autoSpaceDN w:val="0"/>
        <w:adjustRightInd w:val="0"/>
        <w:ind w:left="567" w:right="-518" w:hanging="567"/>
        <w:jc w:val="both"/>
        <w:rPr>
          <w:rFonts w:ascii="Arial" w:hAnsi="Arial" w:cs="Arial"/>
          <w:lang w:val="es-CR"/>
        </w:rPr>
      </w:pPr>
      <w:r w:rsidRPr="00F873EA">
        <w:rPr>
          <w:rFonts w:ascii="Arial" w:hAnsi="Arial" w:cs="Arial"/>
          <w:lang w:val="es-CR"/>
        </w:rPr>
        <w:t xml:space="preserve">Solicitar a la Comisión Especial que se encargará de conocer y dictaminar Proyectos de Ley requeridos, para lograr la adhesión de Costa Rica a la Organización para la Cooperación y Desarrollo Económico (OCDE), que se tomen en consideración los criterios emitidos por las instancias del Instituto Tecnológico de Costa Rica. </w:t>
      </w:r>
    </w:p>
    <w:p w:rsidR="00917157" w:rsidRPr="00700F21" w:rsidRDefault="00917157" w:rsidP="00917157">
      <w:pPr>
        <w:pBdr>
          <w:top w:val="nil"/>
          <w:left w:val="nil"/>
          <w:bottom w:val="nil"/>
          <w:right w:val="nil"/>
          <w:between w:val="nil"/>
        </w:pBdr>
        <w:tabs>
          <w:tab w:val="left" w:pos="426"/>
        </w:tabs>
        <w:spacing w:after="160" w:line="259" w:lineRule="auto"/>
        <w:ind w:right="474"/>
        <w:contextualSpacing/>
        <w:jc w:val="both"/>
        <w:rPr>
          <w:rFonts w:ascii="Arial" w:eastAsia="Calibri" w:hAnsi="Arial" w:cs="Arial"/>
          <w:lang w:val="es-CR"/>
        </w:rPr>
      </w:pPr>
    </w:p>
    <w:p w:rsidR="00917157" w:rsidRPr="00F873EA" w:rsidRDefault="00917157" w:rsidP="00F873EA">
      <w:pPr>
        <w:numPr>
          <w:ilvl w:val="0"/>
          <w:numId w:val="35"/>
        </w:numPr>
        <w:autoSpaceDE w:val="0"/>
        <w:autoSpaceDN w:val="0"/>
        <w:adjustRightInd w:val="0"/>
        <w:ind w:left="567" w:right="-518" w:hanging="567"/>
        <w:jc w:val="both"/>
        <w:rPr>
          <w:rFonts w:ascii="Arial" w:hAnsi="Arial" w:cs="Arial"/>
        </w:rPr>
      </w:pPr>
      <w:r>
        <w:rPr>
          <w:rFonts w:ascii="Arial" w:hAnsi="Arial" w:cs="Arial"/>
          <w:b/>
          <w:lang w:val="es-CR"/>
        </w:rPr>
        <w:t>ACUERDO FIRME.</w:t>
      </w:r>
    </w:p>
    <w:p w:rsidR="00F873EA" w:rsidRDefault="00F873EA" w:rsidP="00F873EA">
      <w:pPr>
        <w:ind w:left="426"/>
        <w:contextualSpacing/>
        <w:jc w:val="both"/>
        <w:rPr>
          <w:rFonts w:ascii="Arial" w:hAnsi="Arial" w:cs="Arial"/>
          <w:b/>
          <w:lang w:val="es-CR"/>
        </w:rPr>
      </w:pPr>
    </w:p>
    <w:p w:rsidR="00F873EA" w:rsidRPr="00CF46CC" w:rsidRDefault="00F873EA" w:rsidP="00F873EA">
      <w:pPr>
        <w:ind w:left="426"/>
        <w:contextualSpacing/>
        <w:jc w:val="both"/>
        <w:rPr>
          <w:rFonts w:ascii="Arial" w:hAnsi="Arial" w:cs="Arial"/>
        </w:rPr>
      </w:pPr>
    </w:p>
    <w:p w:rsidR="00F873EA" w:rsidRPr="00F873EA" w:rsidRDefault="00F873EA" w:rsidP="00F873EA">
      <w:pPr>
        <w:autoSpaceDE w:val="0"/>
        <w:autoSpaceDN w:val="0"/>
        <w:adjustRightInd w:val="0"/>
        <w:jc w:val="both"/>
        <w:rPr>
          <w:rFonts w:ascii="Arial" w:hAnsi="Arial" w:cs="Arial"/>
          <w:lang w:val="es-CR"/>
        </w:rPr>
      </w:pPr>
      <w:r w:rsidRPr="00F873EA">
        <w:rPr>
          <w:rFonts w:ascii="Arial" w:hAnsi="Arial" w:cs="Arial"/>
          <w:b/>
          <w:sz w:val="22"/>
          <w:szCs w:val="22"/>
          <w:lang w:val="es-CR"/>
        </w:rPr>
        <w:t>PALABRAS CLAVE:</w:t>
      </w:r>
      <w:r w:rsidRPr="00F873EA">
        <w:rPr>
          <w:rFonts w:ascii="Arial" w:hAnsi="Arial" w:cs="Arial"/>
          <w:sz w:val="22"/>
          <w:szCs w:val="22"/>
          <w:lang w:val="es-CR"/>
        </w:rPr>
        <w:t xml:space="preserve">  Pronunciamiento – Proyecto Ley Sistema de Estadística Nacional</w:t>
      </w:r>
    </w:p>
    <w:p w:rsidR="00CF46CC" w:rsidRDefault="00CF46CC" w:rsidP="00CF46CC">
      <w:pPr>
        <w:pBdr>
          <w:top w:val="nil"/>
          <w:left w:val="nil"/>
          <w:bottom w:val="nil"/>
          <w:right w:val="nil"/>
          <w:between w:val="nil"/>
        </w:pBdr>
        <w:tabs>
          <w:tab w:val="left" w:pos="426"/>
        </w:tabs>
        <w:spacing w:after="160" w:line="259" w:lineRule="auto"/>
        <w:ind w:right="474"/>
        <w:contextualSpacing/>
        <w:jc w:val="both"/>
        <w:rPr>
          <w:rFonts w:ascii="Arial" w:hAnsi="Arial" w:cs="Arial"/>
          <w:b/>
          <w:lang w:val="es-CR"/>
        </w:rPr>
      </w:pPr>
    </w:p>
    <w:p w:rsidR="00CF46CC" w:rsidRDefault="00CF46CC" w:rsidP="00CF46CC">
      <w:pPr>
        <w:pBdr>
          <w:top w:val="nil"/>
          <w:left w:val="nil"/>
          <w:bottom w:val="nil"/>
          <w:right w:val="nil"/>
          <w:between w:val="nil"/>
        </w:pBdr>
        <w:tabs>
          <w:tab w:val="left" w:pos="426"/>
        </w:tabs>
        <w:spacing w:after="160" w:line="259" w:lineRule="auto"/>
        <w:ind w:right="474"/>
        <w:contextualSpacing/>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8A" w:rsidRDefault="00682D8A">
      <w:r>
        <w:separator/>
      </w:r>
    </w:p>
  </w:endnote>
  <w:endnote w:type="continuationSeparator" w:id="0">
    <w:p w:rsidR="00682D8A" w:rsidRDefault="0068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8A" w:rsidRDefault="00682D8A">
      <w:r>
        <w:separator/>
      </w:r>
    </w:p>
  </w:footnote>
  <w:footnote w:type="continuationSeparator" w:id="0">
    <w:p w:rsidR="00682D8A" w:rsidRDefault="0068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CC7CB5">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F873EA">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C7CB5">
      <w:rPr>
        <w:rFonts w:ascii="Arial" w:eastAsia="Cambria" w:hAnsi="Arial" w:cs="Arial"/>
        <w:i/>
        <w:sz w:val="18"/>
        <w:szCs w:val="18"/>
        <w:lang w:val="es-ES_tradnl" w:eastAsia="x-none"/>
      </w:rPr>
      <w:t>20</w:t>
    </w:r>
    <w:r w:rsidR="00C70F02">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A524C">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9651F00"/>
    <w:multiLevelType w:val="hybridMultilevel"/>
    <w:tmpl w:val="F6B295F6"/>
    <w:lvl w:ilvl="0" w:tplc="77161DD2">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4471F4"/>
    <w:multiLevelType w:val="hybridMultilevel"/>
    <w:tmpl w:val="E758C4EE"/>
    <w:lvl w:ilvl="0" w:tplc="48044DB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08C7015"/>
    <w:multiLevelType w:val="hybridMultilevel"/>
    <w:tmpl w:val="23A01420"/>
    <w:lvl w:ilvl="0" w:tplc="6BB461FE">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9E165C"/>
    <w:multiLevelType w:val="hybridMultilevel"/>
    <w:tmpl w:val="7F06A8B0"/>
    <w:lvl w:ilvl="0" w:tplc="2E7EE604">
      <w:start w:val="1"/>
      <w:numFmt w:val="decimal"/>
      <w:lvlText w:val="%1."/>
      <w:lvlJc w:val="left"/>
      <w:pPr>
        <w:tabs>
          <w:tab w:val="num" w:pos="360"/>
        </w:tabs>
        <w:ind w:left="360" w:hanging="360"/>
      </w:pPr>
      <w:rPr>
        <w:rFonts w:ascii="Arial" w:hAnsi="Arial" w:cs="Arial"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0727F47"/>
    <w:multiLevelType w:val="hybridMultilevel"/>
    <w:tmpl w:val="BACA8E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2698596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EB908A3C"/>
    <w:lvl w:ilvl="0" w:tplc="8036260A">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2B780F"/>
    <w:multiLevelType w:val="hybridMultilevel"/>
    <w:tmpl w:val="5F36399E"/>
    <w:lvl w:ilvl="0" w:tplc="D1762004">
      <w:start w:val="1"/>
      <w:numFmt w:val="lowerLetter"/>
      <w:lvlText w:val="%1."/>
      <w:lvlJc w:val="left"/>
      <w:pPr>
        <w:ind w:left="720" w:hanging="360"/>
      </w:pPr>
      <w:rPr>
        <w:b/>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2994E48"/>
    <w:multiLevelType w:val="hybridMultilevel"/>
    <w:tmpl w:val="E6CCC99C"/>
    <w:lvl w:ilvl="0" w:tplc="08867EB8">
      <w:start w:val="1"/>
      <w:numFmt w:val="decimal"/>
      <w:lvlText w:val="%1."/>
      <w:lvlJc w:val="left"/>
      <w:pPr>
        <w:ind w:left="360" w:hanging="360"/>
      </w:pPr>
      <w:rPr>
        <w:b/>
      </w:rPr>
    </w:lvl>
    <w:lvl w:ilvl="1" w:tplc="140A0001">
      <w:start w:val="1"/>
      <w:numFmt w:val="bullet"/>
      <w:lvlText w:val=""/>
      <w:lvlJc w:val="left"/>
      <w:pPr>
        <w:ind w:left="1080" w:hanging="360"/>
      </w:pPr>
      <w:rPr>
        <w:rFonts w:ascii="Symbol" w:hAnsi="Symbol" w:hint="default"/>
      </w:r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A0A455C"/>
    <w:multiLevelType w:val="hybridMultilevel"/>
    <w:tmpl w:val="5CC8FCF2"/>
    <w:lvl w:ilvl="0" w:tplc="F0EE7C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A6341D"/>
    <w:multiLevelType w:val="multilevel"/>
    <w:tmpl w:val="D0886E6E"/>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EE4F8C"/>
    <w:multiLevelType w:val="hybridMultilevel"/>
    <w:tmpl w:val="04B87984"/>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24"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43555B53"/>
    <w:multiLevelType w:val="hybridMultilevel"/>
    <w:tmpl w:val="0A6AC9C0"/>
    <w:lvl w:ilvl="0" w:tplc="4C2C8C7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45115B1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A03B7C"/>
    <w:multiLevelType w:val="multilevel"/>
    <w:tmpl w:val="034E4A26"/>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928" w:hanging="360"/>
      </w:pPr>
      <w:rPr>
        <w:rFonts w:ascii="Arial" w:hAnsi="Arial" w:cs="Arial" w:hint="default"/>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1" w15:restartNumberingAfterBreak="0">
    <w:nsid w:val="5D0716CB"/>
    <w:multiLevelType w:val="hybridMultilevel"/>
    <w:tmpl w:val="C0B0B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44B251C"/>
    <w:multiLevelType w:val="hybridMultilevel"/>
    <w:tmpl w:val="C0B0B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5255FC6"/>
    <w:multiLevelType w:val="hybridMultilevel"/>
    <w:tmpl w:val="EF1A3CE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BBE0835"/>
    <w:multiLevelType w:val="hybridMultilevel"/>
    <w:tmpl w:val="2628111E"/>
    <w:lvl w:ilvl="0" w:tplc="5E0A0772">
      <w:start w:val="2"/>
      <w:numFmt w:val="lowerLetter"/>
      <w:lvlText w:val="%1)"/>
      <w:lvlJc w:val="left"/>
      <w:pPr>
        <w:ind w:left="360" w:hanging="360"/>
      </w:pPr>
      <w:rPr>
        <w:rFonts w:ascii="Arial" w:hAnsi="Arial" w:cs="Arial"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D561769"/>
    <w:multiLevelType w:val="hybridMultilevel"/>
    <w:tmpl w:val="61E4E032"/>
    <w:lvl w:ilvl="0" w:tplc="17B85E66">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24"/>
  </w:num>
  <w:num w:numId="8">
    <w:abstractNumId w:val="27"/>
  </w:num>
  <w:num w:numId="9">
    <w:abstractNumId w:val="15"/>
  </w:num>
  <w:num w:numId="10">
    <w:abstractNumId w:val="16"/>
  </w:num>
  <w:num w:numId="11">
    <w:abstractNumId w:val="32"/>
  </w:num>
  <w:num w:numId="12">
    <w:abstractNumId w:val="12"/>
  </w:num>
  <w:num w:numId="13">
    <w:abstractNumId w:val="3"/>
  </w:num>
  <w:num w:numId="14">
    <w:abstractNumId w:val="33"/>
  </w:num>
  <w:num w:numId="15">
    <w:abstractNumId w:val="19"/>
  </w:num>
  <w:num w:numId="16">
    <w:abstractNumId w:val="20"/>
  </w:num>
  <w:num w:numId="17">
    <w:abstractNumId w:val="8"/>
  </w:num>
  <w:num w:numId="18">
    <w:abstractNumId w:val="37"/>
  </w:num>
  <w:num w:numId="19">
    <w:abstractNumId w:val="3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4"/>
  </w:num>
  <w:num w:numId="23">
    <w:abstractNumId w:val="2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6"/>
  </w:num>
  <w:num w:numId="27">
    <w:abstractNumId w:val="31"/>
  </w:num>
  <w:num w:numId="28">
    <w:abstractNumId w:val="14"/>
  </w:num>
  <w:num w:numId="29">
    <w:abstractNumId w:val="26"/>
  </w:num>
  <w:num w:numId="30">
    <w:abstractNumId w:val="13"/>
  </w:num>
  <w:num w:numId="31">
    <w:abstractNumId w:val="4"/>
  </w:num>
  <w:num w:numId="32">
    <w:abstractNumId w:val="29"/>
  </w:num>
  <w:num w:numId="33">
    <w:abstractNumId w:val="6"/>
  </w:num>
  <w:num w:numId="34">
    <w:abstractNumId w:val="22"/>
  </w:num>
  <w:num w:numId="35">
    <w:abstractNumId w:val="17"/>
  </w:num>
  <w:num w:numId="36">
    <w:abstractNumId w:val="25"/>
  </w:num>
  <w:num w:numId="37">
    <w:abstractNumId w:val="21"/>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9596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C6F0-81B1-4639-8E5B-59F412C8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1334</Words>
  <Characters>7342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111</cp:revision>
  <cp:lastPrinted>2019-03-21T13:39:00Z</cp:lastPrinted>
  <dcterms:created xsi:type="dcterms:W3CDTF">2018-05-02T21:37:00Z</dcterms:created>
  <dcterms:modified xsi:type="dcterms:W3CDTF">2019-03-21T16:24:00Z</dcterms:modified>
</cp:coreProperties>
</file>