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020A0">
        <w:rPr>
          <w:rFonts w:ascii="Arial" w:hAnsi="Arial" w:cs="Arial"/>
          <w:b/>
          <w:bCs/>
          <w:iCs/>
          <w:sz w:val="26"/>
          <w:szCs w:val="22"/>
          <w:lang w:val="es-CR"/>
        </w:rPr>
        <w:t>1091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17195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C90F7F" w:rsidRPr="00AC372A" w:rsidRDefault="00C90F7F" w:rsidP="00C90F7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C90F7F" w:rsidRPr="00AC372A" w:rsidRDefault="00C90F7F" w:rsidP="00C90F7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C90F7F"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C90F7F" w:rsidRPr="00AC372A" w:rsidRDefault="00C90F7F" w:rsidP="00C90F7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C90F7F" w:rsidRPr="00024721"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w:t>
            </w:r>
            <w:r>
              <w:rPr>
                <w:rFonts w:ascii="Arial" w:hAnsi="Arial" w:cs="Arial"/>
                <w:sz w:val="22"/>
                <w:szCs w:val="22"/>
                <w:lang w:val="es-ES_tradnl"/>
              </w:rPr>
              <w:t>Dra. Hannia Rodríguez Mora, Directora Departamento de Recursos Humanos</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Ing. Andrea Cavero Quesada, Secretaria General AFITEC </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Licda. Grettel Ortiz Álvarez, Directora Oficina de Asesoría Legal</w:t>
            </w:r>
          </w:p>
          <w:p w:rsidR="005E0359" w:rsidRDefault="005E0359"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Comunidad Institucional</w:t>
            </w:r>
          </w:p>
          <w:p w:rsidR="00BE62EA" w:rsidRPr="00F548D2" w:rsidRDefault="00BE62EA" w:rsidP="00171957">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171957"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E015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171957">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3F3400">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17195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171957">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E015E">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CE015E">
              <w:rPr>
                <w:rFonts w:ascii="Arial" w:eastAsia="Calibri" w:hAnsi="Arial" w:cs="Arial"/>
                <w:b/>
                <w:sz w:val="22"/>
                <w:szCs w:val="22"/>
              </w:rPr>
              <w:t>1</w:t>
            </w:r>
            <w:r w:rsidR="00171957">
              <w:rPr>
                <w:rFonts w:ascii="Arial" w:eastAsia="Calibri" w:hAnsi="Arial" w:cs="Arial"/>
                <w:b/>
                <w:sz w:val="22"/>
                <w:szCs w:val="22"/>
              </w:rPr>
              <w:t>9</w:t>
            </w:r>
            <w:r w:rsidR="00BE62EA">
              <w:rPr>
                <w:rFonts w:ascii="Arial" w:eastAsia="Calibri" w:hAnsi="Arial" w:cs="Arial"/>
                <w:b/>
                <w:sz w:val="22"/>
                <w:szCs w:val="22"/>
              </w:rPr>
              <w:t xml:space="preserve"> de </w:t>
            </w:r>
            <w:r w:rsidR="003F3400">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171957" w:rsidRPr="00171957">
              <w:rPr>
                <w:rFonts w:ascii="Arial" w:hAnsi="Arial" w:cs="Arial"/>
                <w:b/>
                <w:sz w:val="22"/>
                <w:szCs w:val="22"/>
              </w:rPr>
              <w:t>Reforma del “Reglamento para concursos de antecedentes internos y externos del personal del Instituto Tecnológico de Costa Rica” consistente en la introducción de la definición de “Concurso de antecedentes anulado” y la inclusión de dos artículos nuevos que establecen causales de nulidad absoluta y relativa, respectivamente, de un concurso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C90F7F" w:rsidRPr="00C90F7F" w:rsidRDefault="00C90F7F" w:rsidP="00C90F7F">
      <w:pPr>
        <w:tabs>
          <w:tab w:val="left" w:pos="3070"/>
        </w:tabs>
        <w:contextualSpacing/>
        <w:jc w:val="both"/>
        <w:outlineLvl w:val="0"/>
        <w:rPr>
          <w:rFonts w:ascii="Arial" w:eastAsia="Cambria" w:hAnsi="Arial" w:cs="Arial"/>
          <w:b/>
          <w:lang w:val="es-ES_tradnl" w:eastAsia="en-US"/>
        </w:rPr>
      </w:pPr>
      <w:r w:rsidRPr="00C90F7F">
        <w:rPr>
          <w:rFonts w:ascii="Arial" w:eastAsia="Cambria" w:hAnsi="Arial" w:cs="Arial"/>
          <w:b/>
          <w:lang w:val="es-ES_tradnl" w:eastAsia="en-US"/>
        </w:rPr>
        <w:t>RESULTANDO QUE:</w:t>
      </w:r>
    </w:p>
    <w:p w:rsidR="00C90F7F" w:rsidRPr="00C90F7F" w:rsidRDefault="00C90F7F" w:rsidP="00C90F7F">
      <w:pPr>
        <w:tabs>
          <w:tab w:val="left" w:pos="3070"/>
        </w:tabs>
        <w:contextualSpacing/>
        <w:jc w:val="both"/>
        <w:outlineLvl w:val="0"/>
        <w:rPr>
          <w:rFonts w:ascii="Arial" w:eastAsia="Cambria" w:hAnsi="Arial" w:cs="Arial"/>
          <w:b/>
          <w:lang w:val="es-ES_tradnl" w:eastAsia="en-US"/>
        </w:rPr>
      </w:pPr>
    </w:p>
    <w:p w:rsidR="00C90F7F" w:rsidRPr="00C90F7F" w:rsidRDefault="00C90F7F" w:rsidP="00C90F7F">
      <w:pPr>
        <w:numPr>
          <w:ilvl w:val="0"/>
          <w:numId w:val="11"/>
        </w:numPr>
        <w:tabs>
          <w:tab w:val="clear" w:pos="825"/>
          <w:tab w:val="num" w:pos="465"/>
        </w:tabs>
        <w:ind w:left="465"/>
        <w:jc w:val="both"/>
        <w:rPr>
          <w:rFonts w:ascii="Arial" w:eastAsia="Cambria" w:hAnsi="Arial"/>
          <w:lang w:val="es-CR" w:eastAsia="en-US"/>
        </w:rPr>
      </w:pPr>
      <w:r w:rsidRPr="00C90F7F">
        <w:rPr>
          <w:rFonts w:ascii="Arial" w:eastAsia="Cambria" w:hAnsi="Arial"/>
          <w:lang w:val="es-CR" w:eastAsia="en-US"/>
        </w:rPr>
        <w:t>El Estatuto Orgánico del Instituto Tecnológico de Costa Rica</w:t>
      </w:r>
      <w:r>
        <w:rPr>
          <w:rFonts w:ascii="Arial" w:eastAsia="Cambria" w:hAnsi="Arial"/>
          <w:lang w:val="es-CR" w:eastAsia="en-US"/>
        </w:rPr>
        <w:t>,</w:t>
      </w:r>
      <w:r w:rsidRPr="00C90F7F">
        <w:rPr>
          <w:rFonts w:ascii="Arial" w:eastAsia="Cambria" w:hAnsi="Arial"/>
          <w:lang w:val="es-CR" w:eastAsia="en-US"/>
        </w:rPr>
        <w:t xml:space="preserve"> en su artículo 18, inciso f) señala:</w:t>
      </w:r>
    </w:p>
    <w:p w:rsidR="00C90F7F" w:rsidRPr="00C90F7F" w:rsidRDefault="00C90F7F" w:rsidP="00C90F7F">
      <w:pPr>
        <w:jc w:val="both"/>
        <w:rPr>
          <w:rFonts w:ascii="Arial" w:eastAsia="Cambria" w:hAnsi="Arial"/>
          <w:lang w:val="es-CR" w:eastAsia="en-US"/>
        </w:rPr>
      </w:pPr>
    </w:p>
    <w:p w:rsidR="00C90F7F" w:rsidRPr="00C90F7F" w:rsidRDefault="00C90F7F" w:rsidP="00C90F7F">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C90F7F">
        <w:rPr>
          <w:rFonts w:ascii="Arial" w:eastAsia="Cambria" w:hAnsi="Arial" w:cs="Arial"/>
          <w:i/>
          <w:sz w:val="22"/>
          <w:szCs w:val="22"/>
          <w:lang w:val="es-CR" w:eastAsia="en-US"/>
        </w:rPr>
        <w:t>“Son funciones del Consejo Institucional:</w:t>
      </w:r>
    </w:p>
    <w:p w:rsidR="00C90F7F" w:rsidRPr="00C90F7F" w:rsidRDefault="00C90F7F" w:rsidP="00C90F7F">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C90F7F">
        <w:rPr>
          <w:rFonts w:ascii="Arial" w:eastAsia="Cambria" w:hAnsi="Arial" w:cs="Arial"/>
          <w:i/>
          <w:sz w:val="22"/>
          <w:szCs w:val="22"/>
          <w:lang w:val="es-CR" w:eastAsia="en-US"/>
        </w:rPr>
        <w:t>…</w:t>
      </w:r>
    </w:p>
    <w:p w:rsidR="00C90F7F" w:rsidRPr="00C90F7F" w:rsidRDefault="00C90F7F" w:rsidP="00C90F7F">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C90F7F">
        <w:rPr>
          <w:rFonts w:ascii="Arial" w:eastAsia="Cambria" w:hAnsi="Arial" w:cs="Arial"/>
          <w:i/>
          <w:sz w:val="22"/>
          <w:szCs w:val="22"/>
          <w:lang w:val="es-CR" w:eastAsia="en-US"/>
        </w:rPr>
        <w:t>f.</w:t>
      </w:r>
      <w:r w:rsidRPr="00C90F7F">
        <w:rPr>
          <w:rFonts w:ascii="Arial" w:eastAsia="Cambria" w:hAnsi="Arial" w:cs="Arial"/>
          <w:i/>
          <w:sz w:val="22"/>
          <w:szCs w:val="22"/>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C90F7F" w:rsidRPr="00C90F7F" w:rsidRDefault="00C90F7F" w:rsidP="00C90F7F">
      <w:pPr>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65"/>
        <w:jc w:val="both"/>
        <w:rPr>
          <w:rFonts w:ascii="Arial" w:eastAsia="Cambria" w:hAnsi="Arial" w:cs="Arial"/>
          <w:lang w:val="es-ES_tradnl" w:eastAsia="en-US"/>
        </w:rPr>
      </w:pPr>
      <w:r w:rsidRPr="00C90F7F">
        <w:rPr>
          <w:rFonts w:ascii="Arial" w:eastAsia="Cambria" w:hAnsi="Arial" w:cs="Arial"/>
          <w:lang w:val="es-ES_tradnl" w:eastAsia="en-US"/>
        </w:rPr>
        <w:t>Mediante el oficio RH-269-2018 del 20 de marzo de 2018, el entonces Director del Departamento de Recursos Humanos, hizo el siguiente planteamiento:</w:t>
      </w:r>
    </w:p>
    <w:p w:rsidR="00C90F7F" w:rsidRPr="00C90F7F" w:rsidRDefault="00C90F7F" w:rsidP="00C90F7F">
      <w:pPr>
        <w:jc w:val="both"/>
        <w:rPr>
          <w:rFonts w:ascii="Arial" w:eastAsia="Cambria" w:hAnsi="Arial" w:cs="Arial"/>
          <w:lang w:val="es-ES_tradnl" w:eastAsia="en-US"/>
        </w:rPr>
      </w:pP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 xml:space="preserve">“En atención a la recomendación 4.1 emitida por la Auditoría Interna de la Institución en el informe AUDI-F-08-2017, procedo a trasladar para su valoración y análisis, la siguiente propuesta de incorporación del presente articulado en el </w:t>
      </w:r>
      <w:r w:rsidRPr="00C90F7F">
        <w:rPr>
          <w:rFonts w:ascii="ArialMT" w:eastAsia="Cambria" w:hAnsi="ArialMT" w:cs="Arial"/>
          <w:i/>
          <w:sz w:val="22"/>
          <w:szCs w:val="22"/>
          <w:lang w:val="es-ES_tradnl" w:eastAsia="en-US"/>
        </w:rPr>
        <w:t>Reglamento de Concursos de Antecedentes Internos y Externos del ITCR</w:t>
      </w:r>
      <w:r w:rsidRPr="00C90F7F">
        <w:rPr>
          <w:rFonts w:ascii="Arial" w:eastAsia="Cambria" w:hAnsi="Arial" w:cs="Arial"/>
          <w:i/>
          <w:sz w:val="22"/>
          <w:szCs w:val="22"/>
          <w:lang w:val="es-ES_tradnl" w:eastAsia="en-US"/>
        </w:rPr>
        <w:t>.</w:t>
      </w: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Considerando que:</w:t>
      </w: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p>
    <w:p w:rsidR="00C90F7F" w:rsidRPr="00C90F7F" w:rsidRDefault="00C90F7F" w:rsidP="00C90F7F">
      <w:pPr>
        <w:numPr>
          <w:ilvl w:val="0"/>
          <w:numId w:val="33"/>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La Administración Pública tiene el deber de fiscalizar que los actos administrativos adscritos a su competencia cumplan con las disposiciones que garanticen el fin público que persiguen, lo que podría conllevar a que estos actos sean revisados y ante la existencia de irregularidades sean anulados parcial o totalmente.</w:t>
      </w:r>
    </w:p>
    <w:p w:rsidR="00C90F7F" w:rsidRPr="00C90F7F" w:rsidRDefault="00C90F7F" w:rsidP="00C90F7F">
      <w:pPr>
        <w:tabs>
          <w:tab w:val="left" w:pos="8640"/>
        </w:tabs>
        <w:ind w:left="1134" w:right="333"/>
        <w:jc w:val="both"/>
        <w:rPr>
          <w:rFonts w:ascii="Arial" w:eastAsia="Calibri" w:hAnsi="Arial" w:cs="Arial"/>
          <w:i/>
          <w:sz w:val="22"/>
          <w:szCs w:val="22"/>
          <w:lang w:val="es-CR"/>
        </w:rPr>
      </w:pPr>
    </w:p>
    <w:p w:rsidR="00C90F7F" w:rsidRPr="00C90F7F" w:rsidRDefault="00C90F7F" w:rsidP="00C90F7F">
      <w:pPr>
        <w:numPr>
          <w:ilvl w:val="0"/>
          <w:numId w:val="33"/>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El mecanismo utilizado para gestionar la respectiva anulación de actos administrativos responde al cuerpo normativo existente, tanto interno como externo, en lo cabe, de la institución.</w:t>
      </w:r>
    </w:p>
    <w:p w:rsidR="00C90F7F" w:rsidRPr="00C90F7F" w:rsidRDefault="00C90F7F" w:rsidP="00C90F7F">
      <w:pPr>
        <w:ind w:left="1134" w:right="333"/>
        <w:rPr>
          <w:rFonts w:ascii="Arial" w:eastAsia="Calibri" w:hAnsi="Arial" w:cs="Arial"/>
          <w:i/>
          <w:sz w:val="22"/>
          <w:szCs w:val="22"/>
          <w:lang w:val="es-CR"/>
        </w:rPr>
      </w:pPr>
    </w:p>
    <w:p w:rsidR="00C90F7F" w:rsidRPr="00C90F7F" w:rsidRDefault="00C90F7F" w:rsidP="00C90F7F">
      <w:pPr>
        <w:numPr>
          <w:ilvl w:val="0"/>
          <w:numId w:val="33"/>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Ciertamente, el cuerpo normativo interno no contiene una lista taxativa de las razones que podrían deparar que un acto sea anulado de forma parcial o total, lo que a su vez representa un esfuerzo de la Administración por generalizar actos que podrían requerir su revisión por aspectos puntuales o esporádicos.</w:t>
      </w:r>
    </w:p>
    <w:p w:rsidR="00C90F7F" w:rsidRPr="00C90F7F" w:rsidRDefault="00C90F7F" w:rsidP="00C90F7F">
      <w:pPr>
        <w:ind w:left="1134" w:right="333"/>
        <w:rPr>
          <w:rFonts w:ascii="Arial" w:eastAsia="Calibri" w:hAnsi="Arial" w:cs="Arial"/>
          <w:i/>
          <w:sz w:val="22"/>
          <w:szCs w:val="22"/>
          <w:lang w:val="es-CR"/>
        </w:rPr>
      </w:pPr>
    </w:p>
    <w:p w:rsidR="00C90F7F" w:rsidRPr="00C90F7F" w:rsidRDefault="00C90F7F" w:rsidP="00C90F7F">
      <w:pPr>
        <w:numPr>
          <w:ilvl w:val="0"/>
          <w:numId w:val="33"/>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rPr>
        <w:t>En vista de la necesidad de configurar normativa explícita sobre este particular, de forma que exista claridad sobre los aspectos que podrían deparar en la anulación de concursos de antecedentes se propone la siguiente adición normativa.</w:t>
      </w: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Por lo tanto:</w:t>
      </w: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r w:rsidRPr="00C90F7F">
        <w:rPr>
          <w:rFonts w:ascii="Arial" w:eastAsia="Cambria" w:hAnsi="Arial" w:cs="Arial"/>
          <w:i/>
          <w:sz w:val="22"/>
          <w:szCs w:val="22"/>
          <w:lang w:val="es-ES_tradnl" w:eastAsia="en-US"/>
        </w:rPr>
        <w:t xml:space="preserve">Se solicita incorporar el siguiente artículo 4 del </w:t>
      </w:r>
      <w:r w:rsidRPr="00C90F7F">
        <w:rPr>
          <w:rFonts w:ascii="ArialMT" w:eastAsia="Cambria" w:hAnsi="ArialMT" w:cs="Arial"/>
          <w:i/>
          <w:sz w:val="22"/>
          <w:szCs w:val="22"/>
          <w:lang w:val="es-ES_tradnl" w:eastAsia="en-US"/>
        </w:rPr>
        <w:t>Reglamento de Concursos de Antecedentes Internos y Externos del ITCR</w:t>
      </w:r>
      <w:r w:rsidRPr="00C90F7F">
        <w:rPr>
          <w:rFonts w:ascii="Arial" w:eastAsia="Cambria" w:hAnsi="Arial" w:cs="Arial"/>
          <w:i/>
          <w:sz w:val="22"/>
          <w:szCs w:val="22"/>
          <w:lang w:val="es-ES_tradnl" w:eastAsia="en-US"/>
        </w:rPr>
        <w:t>., en el apartado de Definiciones:</w:t>
      </w:r>
    </w:p>
    <w:p w:rsidR="00C90F7F" w:rsidRPr="00C90F7F" w:rsidRDefault="00C90F7F" w:rsidP="00C90F7F">
      <w:pPr>
        <w:tabs>
          <w:tab w:val="left" w:pos="8640"/>
        </w:tabs>
        <w:ind w:left="851" w:right="333"/>
        <w:jc w:val="both"/>
        <w:rPr>
          <w:rFonts w:ascii="Arial" w:eastAsia="Cambria" w:hAnsi="Arial" w:cs="Arial"/>
          <w:i/>
          <w:sz w:val="22"/>
          <w:szCs w:val="22"/>
          <w:lang w:val="es-ES_tradnl" w:eastAsia="en-US"/>
        </w:rPr>
      </w:pP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Concurso de antecedentes anulado: 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Para que se dicte una anulación total sobre un concurso de antecedentes deben presentarse alguna de las siguientes condiciones:</w:t>
      </w: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p>
    <w:p w:rsidR="00C90F7F" w:rsidRPr="00C90F7F" w:rsidRDefault="00C90F7F" w:rsidP="00C90F7F">
      <w:pPr>
        <w:numPr>
          <w:ilvl w:val="0"/>
          <w:numId w:val="34"/>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los criterios de selección o pedimento de personal solicitado.</w:t>
      </w:r>
    </w:p>
    <w:p w:rsidR="00C90F7F" w:rsidRPr="00C90F7F" w:rsidRDefault="00C90F7F" w:rsidP="00C90F7F">
      <w:pPr>
        <w:numPr>
          <w:ilvl w:val="0"/>
          <w:numId w:val="34"/>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la publicación del concurso de antecedentes.</w:t>
      </w:r>
    </w:p>
    <w:p w:rsidR="00C90F7F" w:rsidRPr="00C90F7F" w:rsidRDefault="00C90F7F" w:rsidP="00C90F7F">
      <w:pPr>
        <w:numPr>
          <w:ilvl w:val="0"/>
          <w:numId w:val="34"/>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Conformación incorrecta de la comisión.</w:t>
      </w:r>
    </w:p>
    <w:p w:rsidR="00C90F7F" w:rsidRPr="00C90F7F" w:rsidRDefault="00C90F7F" w:rsidP="00C90F7F">
      <w:pPr>
        <w:numPr>
          <w:ilvl w:val="0"/>
          <w:numId w:val="34"/>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Otra irregularidad que vicie el procedimiento de concurso de antecedentes desde su inicio.</w:t>
      </w: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Para que recaiga una anulación parcial sobre un concurso de antecedentes deben presentarse alguna de las siguientes condiciones:</w:t>
      </w:r>
    </w:p>
    <w:p w:rsidR="00C90F7F" w:rsidRPr="00C90F7F" w:rsidRDefault="00C90F7F" w:rsidP="00C90F7F">
      <w:pPr>
        <w:tabs>
          <w:tab w:val="left" w:pos="8640"/>
        </w:tabs>
        <w:ind w:left="851" w:right="333"/>
        <w:jc w:val="both"/>
        <w:rPr>
          <w:rFonts w:ascii="Arial" w:eastAsia="Calibri" w:hAnsi="Arial" w:cs="Arial"/>
          <w:i/>
          <w:sz w:val="22"/>
          <w:szCs w:val="22"/>
          <w:lang w:val="es-CR" w:eastAsia="en-US"/>
        </w:rPr>
      </w:pPr>
    </w:p>
    <w:p w:rsidR="00C90F7F" w:rsidRPr="00C90F7F" w:rsidRDefault="00C90F7F" w:rsidP="00C90F7F">
      <w:pPr>
        <w:numPr>
          <w:ilvl w:val="0"/>
          <w:numId w:val="35"/>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la aplicación de pruebas durante el concurso de antecedentes.</w:t>
      </w:r>
    </w:p>
    <w:p w:rsidR="00C90F7F" w:rsidRPr="00C90F7F" w:rsidRDefault="00C90F7F" w:rsidP="00C90F7F">
      <w:pPr>
        <w:numPr>
          <w:ilvl w:val="0"/>
          <w:numId w:val="35"/>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en el otorgamiento de puntuaciones durante el concurso de antecedentes.</w:t>
      </w:r>
    </w:p>
    <w:p w:rsidR="00C90F7F" w:rsidRPr="00C90F7F" w:rsidRDefault="00C90F7F" w:rsidP="00C90F7F">
      <w:pPr>
        <w:numPr>
          <w:ilvl w:val="0"/>
          <w:numId w:val="35"/>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t>Irregularidades subsanables en los criterios de selección utilizados.</w:t>
      </w:r>
    </w:p>
    <w:p w:rsidR="00C90F7F" w:rsidRPr="00C90F7F" w:rsidRDefault="00C90F7F" w:rsidP="00C90F7F">
      <w:pPr>
        <w:numPr>
          <w:ilvl w:val="0"/>
          <w:numId w:val="35"/>
        </w:numPr>
        <w:tabs>
          <w:tab w:val="left" w:pos="8640"/>
        </w:tabs>
        <w:ind w:left="1134" w:right="333"/>
        <w:jc w:val="both"/>
        <w:rPr>
          <w:rFonts w:ascii="Arial" w:eastAsia="Calibri" w:hAnsi="Arial" w:cs="Arial"/>
          <w:i/>
          <w:sz w:val="22"/>
          <w:szCs w:val="22"/>
          <w:lang w:val="es-CR" w:eastAsia="en-US"/>
        </w:rPr>
      </w:pPr>
      <w:r w:rsidRPr="00C90F7F">
        <w:rPr>
          <w:rFonts w:ascii="Arial" w:eastAsia="Calibri" w:hAnsi="Arial" w:cs="Arial"/>
          <w:i/>
          <w:sz w:val="22"/>
          <w:szCs w:val="22"/>
          <w:lang w:val="es-CR" w:eastAsia="en-US"/>
        </w:rPr>
        <w:lastRenderedPageBreak/>
        <w:t>Detección de errores administrativos relacionados con la inclusión o no en el concurso de antecedentes.</w:t>
      </w:r>
    </w:p>
    <w:p w:rsidR="00C90F7F" w:rsidRPr="00C90F7F" w:rsidRDefault="00C90F7F" w:rsidP="00C90F7F">
      <w:pPr>
        <w:numPr>
          <w:ilvl w:val="0"/>
          <w:numId w:val="35"/>
        </w:numPr>
        <w:tabs>
          <w:tab w:val="left" w:pos="8640"/>
        </w:tabs>
        <w:ind w:left="1134" w:right="333"/>
        <w:jc w:val="both"/>
        <w:rPr>
          <w:rFonts w:ascii="Arial" w:eastAsia="Calibri" w:hAnsi="Arial" w:cs="Arial"/>
          <w:i/>
          <w:sz w:val="22"/>
          <w:szCs w:val="22"/>
          <w:lang w:val="es-CR"/>
        </w:rPr>
      </w:pPr>
      <w:r w:rsidRPr="00C90F7F">
        <w:rPr>
          <w:rFonts w:ascii="Arial" w:eastAsia="Calibri" w:hAnsi="Arial" w:cs="Arial"/>
          <w:i/>
          <w:sz w:val="22"/>
          <w:szCs w:val="22"/>
          <w:lang w:val="es-CR" w:eastAsia="en-US"/>
        </w:rPr>
        <w:t>Otra irregularidad que afecte la debida ejecución del procedimiento, sin embargo, no afecte las fases previas del mismo”.</w:t>
      </w:r>
    </w:p>
    <w:p w:rsidR="00C90F7F" w:rsidRPr="00C90F7F" w:rsidRDefault="00C90F7F" w:rsidP="00C90F7F">
      <w:pPr>
        <w:rPr>
          <w:rFonts w:ascii="Arial" w:eastAsia="Cambria" w:hAnsi="Arial" w:cs="Arial"/>
          <w:sz w:val="18"/>
          <w:szCs w:val="18"/>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eastAsia="en-US"/>
        </w:rPr>
      </w:pPr>
      <w:r w:rsidRPr="00C90F7F">
        <w:rPr>
          <w:rFonts w:ascii="Arial" w:eastAsia="Cambria" w:hAnsi="Arial" w:cs="Arial"/>
          <w:lang w:val="es-ES_tradnl" w:eastAsia="en-US"/>
        </w:rPr>
        <w:t>Mediante el oficio SCI-450-2018</w:t>
      </w:r>
      <w:r>
        <w:rPr>
          <w:rFonts w:ascii="Arial" w:eastAsia="Cambria" w:hAnsi="Arial" w:cs="Arial"/>
          <w:lang w:val="es-ES_tradnl" w:eastAsia="en-US"/>
        </w:rPr>
        <w:t>,</w:t>
      </w:r>
      <w:r w:rsidRPr="00C90F7F">
        <w:rPr>
          <w:rFonts w:ascii="Arial" w:eastAsia="Cambria" w:hAnsi="Arial" w:cs="Arial"/>
          <w:lang w:val="es-ES_tradnl" w:eastAsia="en-US"/>
        </w:rPr>
        <w:t xml:space="preserve"> del 21 de junio de 2018 la Comisión de Planificación y Administración</w:t>
      </w:r>
      <w:r>
        <w:rPr>
          <w:rFonts w:ascii="Arial" w:eastAsia="Cambria" w:hAnsi="Arial" w:cs="Arial"/>
          <w:lang w:val="es-ES_tradnl" w:eastAsia="en-US"/>
        </w:rPr>
        <w:t>,</w:t>
      </w:r>
      <w:r w:rsidRPr="00C90F7F">
        <w:rPr>
          <w:rFonts w:ascii="Arial" w:eastAsia="Cambria" w:hAnsi="Arial" w:cs="Arial"/>
          <w:lang w:val="es-ES_tradnl" w:eastAsia="en-US"/>
        </w:rPr>
        <w:t xml:space="preserve"> solicitó a la Oficina de Planificación Institucional, el dictamen estipulado en el artículo 14 del “Reglamento de Normalización Institucional”, sobre la solicitud de reforma al “Reglamento para concursos de antecedentes internos y externos del personal del Instituto Tecnológico de Costa Rica”.</w:t>
      </w:r>
    </w:p>
    <w:p w:rsidR="00C90F7F" w:rsidRPr="00C90F7F" w:rsidRDefault="00C90F7F" w:rsidP="00C90F7F">
      <w:pPr>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La Oficina de Planificación Institucional</w:t>
      </w:r>
      <w:r>
        <w:rPr>
          <w:rFonts w:ascii="Arial" w:eastAsia="Cambria" w:hAnsi="Arial" w:cs="Arial"/>
          <w:lang w:val="es-ES_tradnl" w:eastAsia="en-US"/>
        </w:rPr>
        <w:t>,</w:t>
      </w:r>
      <w:r w:rsidRPr="00C90F7F">
        <w:rPr>
          <w:rFonts w:ascii="Arial" w:eastAsia="Cambria" w:hAnsi="Arial" w:cs="Arial"/>
          <w:lang w:val="es-ES_tradnl" w:eastAsia="en-US"/>
        </w:rPr>
        <w:t xml:space="preserve"> emitió el dictamen solicitado en el oficio SCI-450-2018, mediante el oficio OPI-660-2018</w:t>
      </w:r>
      <w:r>
        <w:rPr>
          <w:rFonts w:ascii="Arial" w:eastAsia="Cambria" w:hAnsi="Arial" w:cs="Arial"/>
          <w:lang w:val="es-ES_tradnl" w:eastAsia="en-US"/>
        </w:rPr>
        <w:t>,</w:t>
      </w:r>
      <w:r w:rsidRPr="00C90F7F">
        <w:rPr>
          <w:rFonts w:ascii="Arial" w:eastAsia="Cambria" w:hAnsi="Arial" w:cs="Arial"/>
          <w:lang w:val="es-ES_tradnl" w:eastAsia="en-US"/>
        </w:rPr>
        <w:t xml:space="preserve"> del 29 de agosto de 2018, indicando lo siguiente:</w:t>
      </w:r>
    </w:p>
    <w:p w:rsidR="00C90F7F" w:rsidRPr="00C90F7F" w:rsidRDefault="00C90F7F" w:rsidP="00C90F7F">
      <w:pPr>
        <w:ind w:left="708"/>
        <w:rPr>
          <w:rFonts w:ascii="Arial" w:eastAsia="Calibri" w:hAnsi="Arial" w:cs="Arial"/>
          <w:lang w:val="es-CR"/>
        </w:rPr>
      </w:pPr>
    </w:p>
    <w:p w:rsidR="00C90F7F" w:rsidRPr="00C90F7F" w:rsidRDefault="00C90F7F" w:rsidP="00C90F7F">
      <w:pPr>
        <w:ind w:left="1276" w:right="333" w:hanging="451"/>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 xml:space="preserve">“1-  El primer párrafo responde a una definición tal y como se indica en la propuesta, sin embargo, se recomienda eliminar lo referente a “Esto depararía que”, para que se lea: </w:t>
      </w:r>
    </w:p>
    <w:p w:rsidR="00C90F7F" w:rsidRPr="00C90F7F" w:rsidRDefault="00C90F7F" w:rsidP="00C90F7F">
      <w:pPr>
        <w:ind w:left="1418" w:right="333"/>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 xml:space="preserve">Concurso de antecedentes anulado: </w:t>
      </w:r>
    </w:p>
    <w:p w:rsidR="00C90F7F" w:rsidRPr="00C90F7F" w:rsidRDefault="00C90F7F" w:rsidP="00C90F7F">
      <w:pPr>
        <w:ind w:left="1418" w:right="333"/>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 xml:space="preserve">Anulación realizada sobre un concurso en el cuál se detecta alguna anomalía o irregularidad que vicia o impide la conservación y continuidad de este. </w:t>
      </w:r>
      <w:r w:rsidRPr="00C90F7F">
        <w:rPr>
          <w:rFonts w:ascii="Arial" w:eastAsia="SimSun" w:hAnsi="Arial" w:cs="Arial"/>
          <w:b/>
          <w:i/>
          <w:iCs/>
          <w:sz w:val="22"/>
          <w:szCs w:val="22"/>
          <w:lang w:val="es-ES_tradnl" w:eastAsia="en-US"/>
        </w:rPr>
        <w:t xml:space="preserve">En caso de anulación total, requerirá </w:t>
      </w:r>
      <w:r w:rsidRPr="00C90F7F">
        <w:rPr>
          <w:rFonts w:ascii="Arial" w:eastAsia="SimSun" w:hAnsi="Arial" w:cs="Arial"/>
          <w:i/>
          <w:iCs/>
          <w:sz w:val="22"/>
          <w:szCs w:val="22"/>
          <w:lang w:val="es-ES_tradnl" w:eastAsia="en-US"/>
        </w:rPr>
        <w:t>iniciar todo el procedimiento o bien, en caso de anulación parcial, se retrotraiga a una fase de este.</w:t>
      </w:r>
    </w:p>
    <w:p w:rsidR="00C90F7F" w:rsidRPr="00C90F7F" w:rsidRDefault="00C90F7F" w:rsidP="00C90F7F">
      <w:pPr>
        <w:ind w:left="639" w:right="333"/>
        <w:jc w:val="both"/>
        <w:rPr>
          <w:rFonts w:ascii="Arial" w:eastAsia="Cambria" w:hAnsi="Arial" w:cs="Arial"/>
          <w:i/>
          <w:sz w:val="22"/>
          <w:szCs w:val="22"/>
          <w:lang w:val="es-ES_tradnl" w:eastAsia="en-US"/>
        </w:rPr>
      </w:pPr>
    </w:p>
    <w:p w:rsidR="00C90F7F" w:rsidRPr="00C90F7F" w:rsidRDefault="00C90F7F" w:rsidP="00C90F7F">
      <w:pPr>
        <w:numPr>
          <w:ilvl w:val="0"/>
          <w:numId w:val="36"/>
        </w:numPr>
        <w:ind w:left="1418" w:right="333"/>
        <w:contextualSpacing/>
        <w:jc w:val="both"/>
        <w:rPr>
          <w:rFonts w:ascii="Arial" w:eastAsia="SimSun" w:hAnsi="Arial" w:cs="Arial"/>
          <w:i/>
          <w:iCs/>
          <w:sz w:val="22"/>
          <w:szCs w:val="22"/>
          <w:lang w:val="es-CR"/>
        </w:rPr>
      </w:pPr>
      <w:r w:rsidRPr="00C90F7F">
        <w:rPr>
          <w:rFonts w:ascii="Arial" w:eastAsia="SimSun" w:hAnsi="Arial" w:cs="Arial"/>
          <w:i/>
          <w:iCs/>
          <w:sz w:val="22"/>
          <w:szCs w:val="22"/>
          <w:lang w:val="es-CR"/>
        </w:rPr>
        <w:t>En lo que se refiere al párrafo dos y consiguientes, debe indicarse en artículos nuevos del reglamento, considerándose la redacción de artículo y no como procedimiento.  (Artículo x Anulación total del concurso - Artículo x Anulación parcial del concurso)</w:t>
      </w:r>
    </w:p>
    <w:p w:rsidR="00C90F7F" w:rsidRPr="00C90F7F" w:rsidRDefault="00C90F7F" w:rsidP="00C90F7F">
      <w:pPr>
        <w:jc w:val="both"/>
        <w:rPr>
          <w:rFonts w:ascii="Arial" w:eastAsia="Cambria" w:hAnsi="Arial" w:cs="Arial"/>
          <w:lang w:val="es-CR" w:eastAsia="en-US"/>
        </w:rPr>
      </w:pPr>
    </w:p>
    <w:tbl>
      <w:tblPr>
        <w:tblStyle w:val="Tablaconcuadrcula101"/>
        <w:tblW w:w="5000" w:type="pct"/>
        <w:jc w:val="right"/>
        <w:tblLook w:val="04A0" w:firstRow="1" w:lastRow="0" w:firstColumn="1" w:lastColumn="0" w:noHBand="0" w:noVBand="1"/>
      </w:tblPr>
      <w:tblGrid>
        <w:gridCol w:w="4361"/>
        <w:gridCol w:w="4699"/>
      </w:tblGrid>
      <w:tr w:rsidR="00C90F7F" w:rsidRPr="00C90F7F" w:rsidTr="00C90F7F">
        <w:trPr>
          <w:jc w:val="right"/>
        </w:trPr>
        <w:tc>
          <w:tcPr>
            <w:tcW w:w="2407" w:type="pct"/>
          </w:tcPr>
          <w:p w:rsidR="00C90F7F" w:rsidRPr="00C90F7F" w:rsidRDefault="00C90F7F" w:rsidP="00C90F7F">
            <w:pPr>
              <w:ind w:right="616"/>
              <w:jc w:val="both"/>
              <w:rPr>
                <w:rFonts w:ascii="Arial" w:hAnsi="Arial" w:cs="Arial"/>
                <w:i/>
                <w:sz w:val="20"/>
                <w:lang w:val="es-ES_tradnl" w:eastAsia="en-US"/>
              </w:rPr>
            </w:pPr>
            <w:r w:rsidRPr="00C90F7F">
              <w:rPr>
                <w:rFonts w:ascii="Arial" w:hAnsi="Arial" w:cs="Arial"/>
                <w:i/>
                <w:sz w:val="20"/>
                <w:lang w:val="es-ES_tradnl" w:eastAsia="en-US"/>
              </w:rPr>
              <w:t xml:space="preserve">“Concurso de antecedentes anulado: </w:t>
            </w:r>
          </w:p>
          <w:p w:rsidR="00C90F7F" w:rsidRPr="00C90F7F" w:rsidRDefault="00C90F7F" w:rsidP="00C90F7F">
            <w:pPr>
              <w:ind w:left="174" w:right="175"/>
              <w:jc w:val="both"/>
              <w:rPr>
                <w:rFonts w:ascii="Arial" w:hAnsi="Arial" w:cs="Arial"/>
                <w:i/>
                <w:sz w:val="20"/>
                <w:lang w:val="es-ES_tradnl" w:eastAsia="en-US"/>
              </w:rPr>
            </w:pPr>
            <w:r w:rsidRPr="00C90F7F">
              <w:rPr>
                <w:rFonts w:ascii="Arial" w:hAnsi="Arial" w:cs="Arial"/>
                <w:i/>
                <w:sz w:val="20"/>
                <w:lang w:val="es-ES_tradnl" w:eastAsia="en-US"/>
              </w:rPr>
              <w:t>Anulación realizada sobre un concurso en el cuál se detecta alguna anomalía o irregularidad que vicia o impide la conservación y continuidad de este. Esto depararía que, en caso de anulación total, requiera iniciar todo el procedimiento o bien, en caso de anulación parcial, se retrotraiga a una fase de este.</w:t>
            </w:r>
          </w:p>
          <w:p w:rsidR="00C90F7F" w:rsidRPr="00C90F7F" w:rsidRDefault="00C90F7F" w:rsidP="00C90F7F">
            <w:pPr>
              <w:jc w:val="both"/>
              <w:rPr>
                <w:rFonts w:ascii="Arial" w:hAnsi="Arial" w:cs="Arial"/>
                <w:i/>
                <w:sz w:val="20"/>
                <w:szCs w:val="16"/>
                <w:lang w:val="es-ES_tradnl" w:eastAsia="en-US"/>
              </w:rPr>
            </w:pPr>
          </w:p>
          <w:p w:rsidR="00C90F7F" w:rsidRPr="00C90F7F" w:rsidRDefault="00C90F7F" w:rsidP="00C90F7F">
            <w:pPr>
              <w:ind w:right="175"/>
              <w:jc w:val="both"/>
              <w:rPr>
                <w:rFonts w:ascii="Arial" w:hAnsi="Arial" w:cs="Arial"/>
                <w:i/>
                <w:sz w:val="20"/>
                <w:lang w:val="es-ES_tradnl" w:eastAsia="en-US"/>
              </w:rPr>
            </w:pPr>
            <w:r w:rsidRPr="00C90F7F">
              <w:rPr>
                <w:rFonts w:ascii="Arial" w:hAnsi="Arial" w:cs="Arial"/>
                <w:i/>
                <w:sz w:val="20"/>
                <w:lang w:val="es-ES_tradnl" w:eastAsia="en-US"/>
              </w:rPr>
              <w:t>Para que se dicte una anulación total sobre un concurso de antecedentes deben presentarse alguna de las siguientes condiciones:</w:t>
            </w:r>
          </w:p>
          <w:p w:rsidR="00C90F7F" w:rsidRPr="00C90F7F" w:rsidRDefault="00C90F7F" w:rsidP="00C90F7F">
            <w:pPr>
              <w:numPr>
                <w:ilvl w:val="0"/>
                <w:numId w:val="28"/>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los criterios de selección o pedimento de personal solicitado.</w:t>
            </w:r>
          </w:p>
          <w:p w:rsidR="00C90F7F" w:rsidRPr="00C90F7F" w:rsidRDefault="00C90F7F" w:rsidP="00C90F7F">
            <w:pPr>
              <w:numPr>
                <w:ilvl w:val="0"/>
                <w:numId w:val="28"/>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publicación del concurso de antecedentes.</w:t>
            </w:r>
          </w:p>
          <w:p w:rsidR="00C90F7F" w:rsidRPr="00C90F7F" w:rsidRDefault="00C90F7F" w:rsidP="00C90F7F">
            <w:pPr>
              <w:numPr>
                <w:ilvl w:val="0"/>
                <w:numId w:val="28"/>
              </w:numPr>
              <w:ind w:left="457" w:right="175" w:hanging="284"/>
              <w:contextualSpacing/>
              <w:jc w:val="both"/>
              <w:rPr>
                <w:rFonts w:ascii="Arial" w:hAnsi="Arial" w:cs="Arial"/>
                <w:i/>
                <w:sz w:val="20"/>
                <w:lang w:val="es-CR"/>
              </w:rPr>
            </w:pPr>
            <w:r w:rsidRPr="00C90F7F">
              <w:rPr>
                <w:rFonts w:ascii="Arial" w:hAnsi="Arial" w:cs="Arial"/>
                <w:i/>
                <w:sz w:val="20"/>
                <w:lang w:val="es-CR"/>
              </w:rPr>
              <w:t>Conformación incorrecta de la comisión.</w:t>
            </w:r>
          </w:p>
          <w:p w:rsidR="00C90F7F" w:rsidRPr="00C90F7F" w:rsidRDefault="00C90F7F" w:rsidP="00C90F7F">
            <w:pPr>
              <w:numPr>
                <w:ilvl w:val="0"/>
                <w:numId w:val="28"/>
              </w:numPr>
              <w:ind w:left="457" w:right="175" w:hanging="284"/>
              <w:contextualSpacing/>
              <w:jc w:val="both"/>
              <w:rPr>
                <w:rFonts w:ascii="Arial" w:hAnsi="Arial" w:cs="Arial"/>
                <w:i/>
                <w:sz w:val="20"/>
                <w:lang w:val="es-CR"/>
              </w:rPr>
            </w:pPr>
            <w:r w:rsidRPr="00C90F7F">
              <w:rPr>
                <w:rFonts w:ascii="Arial" w:hAnsi="Arial" w:cs="Arial"/>
                <w:i/>
                <w:sz w:val="20"/>
                <w:lang w:val="es-CR"/>
              </w:rPr>
              <w:t>Otra irregularidad que vicie el procedimiento de concurso de antecedentes desde su inicio.</w:t>
            </w:r>
          </w:p>
          <w:p w:rsidR="00C90F7F" w:rsidRPr="00C90F7F" w:rsidRDefault="00C90F7F" w:rsidP="00C90F7F">
            <w:pPr>
              <w:ind w:left="174" w:right="175"/>
              <w:jc w:val="both"/>
              <w:rPr>
                <w:rFonts w:ascii="Arial" w:hAnsi="Arial" w:cs="Arial"/>
                <w:i/>
                <w:sz w:val="20"/>
                <w:lang w:val="es-ES_tradnl" w:eastAsia="en-US"/>
              </w:rPr>
            </w:pPr>
            <w:r w:rsidRPr="00C90F7F">
              <w:rPr>
                <w:rFonts w:ascii="Arial" w:hAnsi="Arial" w:cs="Arial"/>
                <w:i/>
                <w:sz w:val="20"/>
                <w:lang w:val="es-ES_tradnl" w:eastAsia="en-US"/>
              </w:rPr>
              <w:t xml:space="preserve">Para que recaiga una anulación parcial sobre un concurso de antecedentes deben </w:t>
            </w:r>
            <w:r w:rsidRPr="00C90F7F">
              <w:rPr>
                <w:rFonts w:ascii="Arial" w:hAnsi="Arial" w:cs="Arial"/>
                <w:i/>
                <w:sz w:val="20"/>
                <w:lang w:val="es-ES_tradnl" w:eastAsia="en-US"/>
              </w:rPr>
              <w:lastRenderedPageBreak/>
              <w:t>(SIC) presentarse alguna de las siguientes condiciones:</w:t>
            </w:r>
          </w:p>
          <w:p w:rsidR="00C90F7F" w:rsidRPr="00C90F7F" w:rsidRDefault="00C90F7F" w:rsidP="00C90F7F">
            <w:pPr>
              <w:numPr>
                <w:ilvl w:val="0"/>
                <w:numId w:val="29"/>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aplicación de pruebas durante el concurso de antecedentes.</w:t>
            </w:r>
          </w:p>
          <w:p w:rsidR="00C90F7F" w:rsidRPr="00C90F7F" w:rsidRDefault="00C90F7F" w:rsidP="00C90F7F">
            <w:pPr>
              <w:numPr>
                <w:ilvl w:val="0"/>
                <w:numId w:val="29"/>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el otorgamiento de puntuaciones durante el concurso de antecedentes.</w:t>
            </w:r>
          </w:p>
          <w:p w:rsidR="00C90F7F" w:rsidRPr="00C90F7F" w:rsidRDefault="00C90F7F" w:rsidP="00C90F7F">
            <w:pPr>
              <w:numPr>
                <w:ilvl w:val="0"/>
                <w:numId w:val="29"/>
              </w:numPr>
              <w:ind w:right="616"/>
              <w:contextualSpacing/>
              <w:jc w:val="both"/>
              <w:rPr>
                <w:rFonts w:ascii="Arial" w:hAnsi="Arial" w:cs="Arial"/>
                <w:i/>
                <w:sz w:val="20"/>
                <w:lang w:val="es-CR"/>
              </w:rPr>
            </w:pPr>
            <w:r w:rsidRPr="00C90F7F">
              <w:rPr>
                <w:rFonts w:ascii="Arial" w:hAnsi="Arial" w:cs="Arial"/>
                <w:i/>
                <w:sz w:val="20"/>
                <w:lang w:val="es-CR"/>
              </w:rPr>
              <w:t>Detección de errores administrativos relacionados con la inclusión o no en el concurso de antecedentes.</w:t>
            </w:r>
          </w:p>
          <w:p w:rsidR="00C90F7F" w:rsidRPr="00C90F7F" w:rsidRDefault="00C90F7F" w:rsidP="00C90F7F">
            <w:pPr>
              <w:numPr>
                <w:ilvl w:val="0"/>
                <w:numId w:val="29"/>
              </w:numPr>
              <w:ind w:right="616"/>
              <w:contextualSpacing/>
              <w:jc w:val="both"/>
              <w:rPr>
                <w:rFonts w:ascii="Arial" w:hAnsi="Arial" w:cs="Arial"/>
                <w:sz w:val="20"/>
                <w:lang w:val="es-CR"/>
              </w:rPr>
            </w:pPr>
            <w:r w:rsidRPr="00C90F7F">
              <w:rPr>
                <w:rFonts w:ascii="Arial" w:hAnsi="Arial" w:cs="Arial"/>
                <w:i/>
                <w:sz w:val="20"/>
                <w:lang w:val="es-CR"/>
              </w:rPr>
              <w:t>Otra irregularidad que afecte la debida ejecución del procedimiento, sin embargo, no afecte las fases previas del mismo.”</w:t>
            </w:r>
          </w:p>
        </w:tc>
        <w:tc>
          <w:tcPr>
            <w:tcW w:w="2593" w:type="pct"/>
          </w:tcPr>
          <w:p w:rsidR="00C90F7F" w:rsidRPr="00C90F7F" w:rsidRDefault="00C90F7F" w:rsidP="00C90F7F">
            <w:pPr>
              <w:jc w:val="both"/>
              <w:rPr>
                <w:rFonts w:ascii="Arial" w:hAnsi="Arial" w:cs="Arial"/>
                <w:i/>
                <w:sz w:val="20"/>
                <w:lang w:val="es-ES_tradnl" w:eastAsia="en-US"/>
              </w:rPr>
            </w:pPr>
            <w:r w:rsidRPr="00C90F7F">
              <w:rPr>
                <w:rFonts w:ascii="Arial" w:hAnsi="Arial" w:cs="Arial"/>
                <w:i/>
                <w:sz w:val="20"/>
                <w:lang w:val="es-ES_tradnl" w:eastAsia="en-US"/>
              </w:rPr>
              <w:lastRenderedPageBreak/>
              <w:t xml:space="preserve">“Concurso de antecedentes anulado: </w:t>
            </w:r>
          </w:p>
          <w:p w:rsidR="00C90F7F" w:rsidRPr="00C90F7F" w:rsidRDefault="00C90F7F" w:rsidP="00C90F7F">
            <w:pPr>
              <w:ind w:left="174" w:right="175"/>
              <w:jc w:val="both"/>
              <w:rPr>
                <w:rFonts w:ascii="Arial" w:hAnsi="Arial" w:cs="Arial"/>
                <w:i/>
                <w:sz w:val="20"/>
                <w:lang w:val="es-ES_tradnl" w:eastAsia="en-US"/>
              </w:rPr>
            </w:pPr>
            <w:r w:rsidRPr="00C90F7F">
              <w:rPr>
                <w:rFonts w:ascii="Arial" w:hAnsi="Arial" w:cs="Arial"/>
                <w:i/>
                <w:sz w:val="20"/>
                <w:lang w:val="es-ES_tradnl" w:eastAsia="en-US"/>
              </w:rPr>
              <w:t xml:space="preserve">Anulación realizada sobre un concurso en el cuál se detecta alguna anomalía o irregularidad que vicia o impide la conservación y continuidad de este. </w:t>
            </w:r>
            <w:r w:rsidRPr="00C90F7F">
              <w:rPr>
                <w:rFonts w:ascii="Arial" w:hAnsi="Arial" w:cs="Arial"/>
                <w:i/>
                <w:strike/>
                <w:sz w:val="20"/>
                <w:lang w:val="es-ES_tradnl" w:eastAsia="en-US"/>
              </w:rPr>
              <w:t>Esto depararía que,</w:t>
            </w:r>
            <w:r w:rsidRPr="00C90F7F">
              <w:rPr>
                <w:rFonts w:ascii="Arial" w:hAnsi="Arial" w:cs="Arial"/>
                <w:i/>
                <w:sz w:val="20"/>
                <w:lang w:val="es-ES_tradnl" w:eastAsia="en-US"/>
              </w:rPr>
              <w:t xml:space="preserve"> En caso de anulación total, requiera iniciar todo el procedimiento o bien, en caso de anulación parcial, se retrotraiga a una fase de este.</w:t>
            </w:r>
          </w:p>
          <w:p w:rsidR="00C90F7F" w:rsidRPr="00C90F7F" w:rsidRDefault="00C90F7F" w:rsidP="00C90F7F">
            <w:pPr>
              <w:ind w:left="174" w:right="175"/>
              <w:jc w:val="both"/>
              <w:rPr>
                <w:rFonts w:ascii="Arial" w:hAnsi="Arial" w:cs="Arial"/>
                <w:i/>
                <w:sz w:val="20"/>
                <w:lang w:val="es-ES_tradnl" w:eastAsia="en-US"/>
              </w:rPr>
            </w:pPr>
          </w:p>
          <w:p w:rsidR="00C90F7F" w:rsidRPr="00C90F7F" w:rsidRDefault="00C90F7F" w:rsidP="00C90F7F">
            <w:pPr>
              <w:ind w:left="174" w:right="175"/>
              <w:jc w:val="both"/>
              <w:rPr>
                <w:rFonts w:ascii="Arial" w:hAnsi="Arial" w:cs="Arial"/>
                <w:sz w:val="20"/>
                <w:lang w:val="es-ES_tradnl" w:eastAsia="en-US"/>
              </w:rPr>
            </w:pPr>
            <w:r w:rsidRPr="00C90F7F">
              <w:rPr>
                <w:rFonts w:ascii="Arial" w:hAnsi="Arial" w:cs="Arial"/>
                <w:sz w:val="20"/>
                <w:lang w:val="es-ES_tradnl" w:eastAsia="en-US"/>
              </w:rPr>
              <w:t xml:space="preserve">En lo que se refiere al párrafo dos y consiguientes, debe indicarse en un artículo nuevo del reglamento, considerándose la redacción de artículo y no como procedimiento.  </w:t>
            </w:r>
          </w:p>
          <w:p w:rsidR="00C90F7F" w:rsidRPr="00C90F7F" w:rsidRDefault="00C90F7F" w:rsidP="00C90F7F">
            <w:pPr>
              <w:ind w:right="175"/>
              <w:jc w:val="both"/>
              <w:rPr>
                <w:rFonts w:ascii="Arial" w:hAnsi="Arial" w:cs="Arial"/>
                <w:b/>
                <w:sz w:val="20"/>
                <w:lang w:val="es-ES_tradnl" w:eastAsia="en-US"/>
              </w:rPr>
            </w:pPr>
          </w:p>
          <w:p w:rsidR="00C90F7F" w:rsidRPr="00C90F7F" w:rsidRDefault="00C90F7F" w:rsidP="00C90F7F">
            <w:pPr>
              <w:ind w:right="175"/>
              <w:jc w:val="both"/>
              <w:rPr>
                <w:rFonts w:ascii="Arial" w:hAnsi="Arial" w:cs="Arial"/>
                <w:b/>
                <w:sz w:val="20"/>
                <w:lang w:val="es-ES_tradnl" w:eastAsia="en-US"/>
              </w:rPr>
            </w:pPr>
            <w:r w:rsidRPr="00C90F7F">
              <w:rPr>
                <w:rFonts w:ascii="Arial" w:hAnsi="Arial" w:cs="Arial"/>
                <w:b/>
                <w:sz w:val="20"/>
                <w:lang w:val="es-ES_tradnl" w:eastAsia="en-US"/>
              </w:rPr>
              <w:t xml:space="preserve">Artículo x anulación total del concurso </w:t>
            </w:r>
          </w:p>
          <w:p w:rsidR="00C90F7F" w:rsidRPr="00C90F7F" w:rsidRDefault="00C90F7F" w:rsidP="00C90F7F">
            <w:pPr>
              <w:ind w:right="175"/>
              <w:jc w:val="both"/>
              <w:rPr>
                <w:rFonts w:ascii="Arial" w:hAnsi="Arial" w:cs="Arial"/>
                <w:i/>
                <w:sz w:val="20"/>
                <w:lang w:val="es-ES_tradnl" w:eastAsia="en-US"/>
              </w:rPr>
            </w:pPr>
            <w:r w:rsidRPr="00C90F7F">
              <w:rPr>
                <w:rFonts w:ascii="Arial" w:hAnsi="Arial" w:cs="Arial"/>
                <w:i/>
                <w:sz w:val="20"/>
                <w:lang w:val="es-ES_tradnl" w:eastAsia="en-US"/>
              </w:rPr>
              <w:t>Para que se dicte una anulación total sobre un concurso de antecedentes deben presentarse alguna de las siguientes condiciones:</w:t>
            </w:r>
          </w:p>
          <w:p w:rsidR="00C90F7F" w:rsidRPr="00C90F7F" w:rsidRDefault="00C90F7F" w:rsidP="00C90F7F">
            <w:pPr>
              <w:numPr>
                <w:ilvl w:val="0"/>
                <w:numId w:val="30"/>
              </w:numPr>
              <w:ind w:left="414" w:right="175" w:hanging="284"/>
              <w:contextualSpacing/>
              <w:jc w:val="both"/>
              <w:rPr>
                <w:rFonts w:ascii="Arial" w:hAnsi="Arial" w:cs="Arial"/>
                <w:i/>
                <w:sz w:val="20"/>
                <w:lang w:val="es-CR"/>
              </w:rPr>
            </w:pPr>
            <w:r w:rsidRPr="00C90F7F">
              <w:rPr>
                <w:rFonts w:ascii="Arial" w:hAnsi="Arial" w:cs="Arial"/>
                <w:i/>
                <w:sz w:val="20"/>
                <w:lang w:val="es-CR"/>
              </w:rPr>
              <w:t>Irregularidades en los criterios de selección o pedimento de personal solicitado.</w:t>
            </w:r>
          </w:p>
          <w:p w:rsidR="00C90F7F" w:rsidRPr="00C90F7F" w:rsidRDefault="00C90F7F" w:rsidP="00C90F7F">
            <w:pPr>
              <w:numPr>
                <w:ilvl w:val="0"/>
                <w:numId w:val="30"/>
              </w:numPr>
              <w:ind w:left="457" w:right="175" w:hanging="284"/>
              <w:contextualSpacing/>
              <w:jc w:val="both"/>
              <w:rPr>
                <w:rFonts w:ascii="Arial" w:hAnsi="Arial" w:cs="Arial"/>
                <w:i/>
                <w:sz w:val="20"/>
                <w:lang w:val="es-CR"/>
              </w:rPr>
            </w:pPr>
            <w:r w:rsidRPr="00C90F7F">
              <w:rPr>
                <w:rFonts w:ascii="Arial" w:hAnsi="Arial" w:cs="Arial"/>
                <w:i/>
                <w:sz w:val="20"/>
                <w:lang w:val="es-CR"/>
              </w:rPr>
              <w:t>Irregularidades en la publicación del concurso de antecedentes.</w:t>
            </w:r>
          </w:p>
          <w:p w:rsidR="00C90F7F" w:rsidRPr="00C90F7F" w:rsidRDefault="00C90F7F" w:rsidP="00C90F7F">
            <w:pPr>
              <w:numPr>
                <w:ilvl w:val="0"/>
                <w:numId w:val="30"/>
              </w:numPr>
              <w:ind w:left="457" w:right="175" w:hanging="284"/>
              <w:contextualSpacing/>
              <w:jc w:val="both"/>
              <w:rPr>
                <w:rFonts w:ascii="Arial" w:hAnsi="Arial" w:cs="Arial"/>
                <w:i/>
                <w:sz w:val="20"/>
                <w:lang w:val="es-CR"/>
              </w:rPr>
            </w:pPr>
            <w:r w:rsidRPr="00C90F7F">
              <w:rPr>
                <w:rFonts w:ascii="Arial" w:hAnsi="Arial" w:cs="Arial"/>
                <w:i/>
                <w:sz w:val="20"/>
                <w:lang w:val="es-CR"/>
              </w:rPr>
              <w:t>Conformación incorrecta de la comisión.</w:t>
            </w:r>
          </w:p>
          <w:p w:rsidR="00C90F7F" w:rsidRPr="00C90F7F" w:rsidRDefault="00C90F7F" w:rsidP="00C90F7F">
            <w:pPr>
              <w:numPr>
                <w:ilvl w:val="0"/>
                <w:numId w:val="30"/>
              </w:numPr>
              <w:ind w:left="457" w:right="175" w:hanging="284"/>
              <w:contextualSpacing/>
              <w:jc w:val="both"/>
              <w:rPr>
                <w:rFonts w:ascii="Arial" w:hAnsi="Arial" w:cs="Arial"/>
                <w:i/>
                <w:sz w:val="20"/>
                <w:lang w:val="es-CR"/>
              </w:rPr>
            </w:pPr>
            <w:r w:rsidRPr="00C90F7F">
              <w:rPr>
                <w:rFonts w:ascii="Arial" w:hAnsi="Arial" w:cs="Arial"/>
                <w:i/>
                <w:sz w:val="20"/>
                <w:lang w:val="es-CR"/>
              </w:rPr>
              <w:lastRenderedPageBreak/>
              <w:t>Otra irregularidad que vicie el procedimiento de concurso de antecedentes desde su inicio.</w:t>
            </w:r>
          </w:p>
          <w:p w:rsidR="00C90F7F" w:rsidRPr="00C90F7F" w:rsidRDefault="00C90F7F" w:rsidP="00C90F7F">
            <w:pPr>
              <w:ind w:right="175"/>
              <w:jc w:val="both"/>
              <w:rPr>
                <w:rFonts w:ascii="Arial" w:hAnsi="Arial" w:cs="Arial"/>
                <w:i/>
                <w:sz w:val="20"/>
                <w:lang w:val="es-ES_tradnl" w:eastAsia="en-US"/>
              </w:rPr>
            </w:pPr>
          </w:p>
          <w:p w:rsidR="00C90F7F" w:rsidRPr="00C90F7F" w:rsidRDefault="00C90F7F" w:rsidP="00C90F7F">
            <w:pPr>
              <w:ind w:right="175"/>
              <w:jc w:val="both"/>
              <w:rPr>
                <w:rFonts w:ascii="Arial" w:hAnsi="Arial" w:cs="Arial"/>
                <w:b/>
                <w:sz w:val="20"/>
                <w:lang w:val="es-ES_tradnl" w:eastAsia="en-US"/>
              </w:rPr>
            </w:pPr>
            <w:r w:rsidRPr="00C90F7F">
              <w:rPr>
                <w:rFonts w:ascii="Arial" w:hAnsi="Arial" w:cs="Arial"/>
                <w:b/>
                <w:sz w:val="20"/>
                <w:lang w:val="es-ES_tradnl" w:eastAsia="en-US"/>
              </w:rPr>
              <w:t>Artículo x anulación parcial del concurso</w:t>
            </w:r>
          </w:p>
          <w:p w:rsidR="00C90F7F" w:rsidRPr="00C90F7F" w:rsidRDefault="00C90F7F" w:rsidP="00C90F7F">
            <w:pPr>
              <w:ind w:right="175"/>
              <w:jc w:val="both"/>
              <w:rPr>
                <w:rFonts w:ascii="Arial" w:hAnsi="Arial" w:cs="Arial"/>
                <w:i/>
                <w:sz w:val="20"/>
                <w:lang w:val="es-ES_tradnl" w:eastAsia="en-US"/>
              </w:rPr>
            </w:pPr>
            <w:r w:rsidRPr="00C90F7F">
              <w:rPr>
                <w:rFonts w:ascii="Arial" w:hAnsi="Arial" w:cs="Arial"/>
                <w:i/>
                <w:sz w:val="20"/>
                <w:lang w:val="es-ES_tradnl" w:eastAsia="en-US"/>
              </w:rPr>
              <w:t>Para que recaiga una anulación parcial sobre un concurso de antecedentes deben (SIC) presentarse alguna de las siguientes condiciones:</w:t>
            </w:r>
          </w:p>
          <w:p w:rsidR="00C90F7F" w:rsidRPr="00C90F7F" w:rsidRDefault="00C90F7F" w:rsidP="00C90F7F">
            <w:pPr>
              <w:numPr>
                <w:ilvl w:val="0"/>
                <w:numId w:val="31"/>
              </w:numPr>
              <w:ind w:left="414" w:right="175"/>
              <w:contextualSpacing/>
              <w:jc w:val="both"/>
              <w:rPr>
                <w:rFonts w:ascii="Arial" w:hAnsi="Arial" w:cs="Arial"/>
                <w:i/>
                <w:sz w:val="20"/>
                <w:lang w:val="es-CR"/>
              </w:rPr>
            </w:pPr>
            <w:r w:rsidRPr="00C90F7F">
              <w:rPr>
                <w:rFonts w:ascii="Arial" w:hAnsi="Arial" w:cs="Arial"/>
                <w:i/>
                <w:sz w:val="20"/>
                <w:lang w:val="es-CR"/>
              </w:rPr>
              <w:t>Irregularidades en la aplicación de pruebas durante el concurso de antecedentes.</w:t>
            </w:r>
          </w:p>
          <w:p w:rsidR="00C90F7F" w:rsidRPr="00C90F7F" w:rsidRDefault="00C90F7F" w:rsidP="00C90F7F">
            <w:pPr>
              <w:numPr>
                <w:ilvl w:val="0"/>
                <w:numId w:val="31"/>
              </w:numPr>
              <w:ind w:left="414" w:right="175"/>
              <w:contextualSpacing/>
              <w:jc w:val="both"/>
              <w:rPr>
                <w:rFonts w:ascii="Arial" w:hAnsi="Arial" w:cs="Arial"/>
                <w:i/>
                <w:sz w:val="20"/>
                <w:lang w:val="es-CR"/>
              </w:rPr>
            </w:pPr>
            <w:r w:rsidRPr="00C90F7F">
              <w:rPr>
                <w:rFonts w:ascii="Arial" w:hAnsi="Arial" w:cs="Arial"/>
                <w:i/>
                <w:sz w:val="20"/>
                <w:lang w:val="es-CR"/>
              </w:rPr>
              <w:t>Irregularidades en el otorgamiento de puntuaciones durante el concurso de antecedentes.</w:t>
            </w:r>
          </w:p>
          <w:p w:rsidR="00C90F7F" w:rsidRPr="00C90F7F" w:rsidRDefault="00C90F7F" w:rsidP="00C90F7F">
            <w:pPr>
              <w:numPr>
                <w:ilvl w:val="0"/>
                <w:numId w:val="31"/>
              </w:numPr>
              <w:ind w:left="414" w:right="175"/>
              <w:contextualSpacing/>
              <w:jc w:val="both"/>
              <w:rPr>
                <w:rFonts w:ascii="Arial" w:hAnsi="Arial" w:cs="Arial"/>
                <w:i/>
                <w:sz w:val="20"/>
                <w:lang w:val="es-CR"/>
              </w:rPr>
            </w:pPr>
            <w:r w:rsidRPr="00C90F7F">
              <w:rPr>
                <w:rFonts w:ascii="Arial" w:hAnsi="Arial" w:cs="Arial"/>
                <w:i/>
                <w:sz w:val="20"/>
                <w:lang w:val="es-CR"/>
              </w:rPr>
              <w:t>Detección de errores administrativos relacionados con la inclusión o no en el concurso de antecedentes.</w:t>
            </w:r>
          </w:p>
          <w:p w:rsidR="00C90F7F" w:rsidRPr="00C90F7F" w:rsidRDefault="00C90F7F" w:rsidP="00C90F7F">
            <w:pPr>
              <w:numPr>
                <w:ilvl w:val="0"/>
                <w:numId w:val="31"/>
              </w:numPr>
              <w:ind w:left="414" w:right="175"/>
              <w:contextualSpacing/>
              <w:jc w:val="both"/>
              <w:rPr>
                <w:rFonts w:ascii="Arial" w:hAnsi="Arial" w:cs="Arial"/>
                <w:iCs/>
                <w:sz w:val="20"/>
                <w:lang w:val="es-ES_tradnl"/>
              </w:rPr>
            </w:pPr>
            <w:r w:rsidRPr="00C90F7F">
              <w:rPr>
                <w:rFonts w:ascii="Arial" w:hAnsi="Arial" w:cs="Arial"/>
                <w:i/>
                <w:sz w:val="20"/>
                <w:lang w:val="es-CR"/>
              </w:rPr>
              <w:t>Otra irregularidad que afecte la debida ejecución del procedimiento, sin embargo, no afecte las fases previas del mismo</w:t>
            </w:r>
          </w:p>
        </w:tc>
      </w:tr>
    </w:tbl>
    <w:p w:rsidR="00C90F7F" w:rsidRPr="00C90F7F" w:rsidRDefault="00C90F7F" w:rsidP="00C90F7F">
      <w:pPr>
        <w:jc w:val="both"/>
        <w:rPr>
          <w:rFonts w:ascii="Arial" w:eastAsia="Cambria" w:hAnsi="Arial" w:cs="Arial"/>
          <w:lang w:val="es-ES_tradnl" w:eastAsia="en-US"/>
        </w:rPr>
      </w:pPr>
    </w:p>
    <w:p w:rsidR="00C90F7F" w:rsidRPr="00C90F7F" w:rsidRDefault="00C90F7F" w:rsidP="00C90F7F">
      <w:pPr>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En la Sesión Ordinaria 69-2008</w:t>
      </w:r>
      <w:r>
        <w:rPr>
          <w:rFonts w:ascii="Arial" w:eastAsia="Cambria" w:hAnsi="Arial" w:cs="Arial"/>
          <w:lang w:val="es-ES_tradnl" w:eastAsia="en-US"/>
        </w:rPr>
        <w:t>,</w:t>
      </w:r>
      <w:r w:rsidRPr="00C90F7F">
        <w:rPr>
          <w:rFonts w:ascii="Arial" w:eastAsia="Cambria" w:hAnsi="Arial" w:cs="Arial"/>
          <w:lang w:val="es-ES_tradnl" w:eastAsia="en-US"/>
        </w:rPr>
        <w:t xml:space="preserve"> la Asamblea Institucional Representativa aprobó, como parte de las “Orientaciones Generales del Instituto Tecnológico de Costa Rica en materia de Autonomía Universitaria, Autogobierno, Rendición de Cuentas, Clima Organizacional y Consejo Institucional y Conformación de Comisión de Defensa de la Autonomía”, lo siguiente: </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“Las normas que emita la Asamblea Legislativa y que la institución considere importante incorporar debe hacerlo siempre de manera supletoria o complementaria, es decir, solo en aquellos casos en los que no exista norma interna o que la misma sea insuficiente.”</w:t>
      </w:r>
    </w:p>
    <w:p w:rsidR="00C90F7F" w:rsidRPr="00C90F7F" w:rsidRDefault="00C90F7F" w:rsidP="00C90F7F">
      <w:pPr>
        <w:ind w:left="360"/>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El artículo 3 del “Reglamento para concursos de antecedentes internos y externos del personal del Instituto Tecnológico de Costa Rica”</w:t>
      </w:r>
      <w:r>
        <w:rPr>
          <w:rFonts w:ascii="Arial" w:eastAsia="Cambria" w:hAnsi="Arial" w:cs="Arial"/>
          <w:lang w:val="es-ES_tradnl" w:eastAsia="en-US"/>
        </w:rPr>
        <w:t>,</w:t>
      </w:r>
      <w:r w:rsidRPr="00C90F7F">
        <w:rPr>
          <w:rFonts w:ascii="Arial" w:eastAsia="Cambria" w:hAnsi="Arial" w:cs="Arial"/>
          <w:lang w:val="es-ES_tradnl" w:eastAsia="en-US"/>
        </w:rPr>
        <w:t xml:space="preserve"> establece lo siguiente:</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Pr>
          <w:rFonts w:ascii="Arial" w:eastAsia="SimSun" w:hAnsi="Arial" w:cs="Arial"/>
          <w:i/>
          <w:iCs/>
          <w:sz w:val="22"/>
          <w:szCs w:val="22"/>
          <w:lang w:val="es-CR" w:eastAsia="en-US"/>
        </w:rPr>
        <w:t>“</w:t>
      </w:r>
      <w:r w:rsidRPr="00C90F7F">
        <w:rPr>
          <w:rFonts w:ascii="Arial" w:eastAsia="SimSun" w:hAnsi="Arial" w:cs="Arial"/>
          <w:i/>
          <w:iCs/>
          <w:sz w:val="22"/>
          <w:szCs w:val="22"/>
          <w:lang w:val="es-ES_tradnl" w:eastAsia="en-US"/>
        </w:rPr>
        <w:t>Artículo 3:  Administración de los procesos de contratación del personal</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El proceso que conlleva a la contratación del personal consta de las siguientes etapas:</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a. Reclutamiento</w:t>
      </w: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b. Selección</w:t>
      </w: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c. Nombramiento</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1134" w:right="333"/>
        <w:contextualSpacing/>
        <w:jc w:val="both"/>
        <w:rPr>
          <w:rFonts w:ascii="Arial" w:eastAsia="SimSun" w:hAnsi="Arial" w:cs="Arial"/>
          <w:i/>
          <w:iCs/>
          <w:sz w:val="22"/>
          <w:szCs w:val="22"/>
          <w:lang w:val="es-ES_tradnl" w:eastAsia="en-US"/>
        </w:rPr>
      </w:pPr>
      <w:r w:rsidRPr="00C90F7F">
        <w:rPr>
          <w:rFonts w:ascii="Arial" w:eastAsia="SimSun" w:hAnsi="Arial" w:cs="Arial"/>
          <w:i/>
          <w:iCs/>
          <w:sz w:val="22"/>
          <w:szCs w:val="22"/>
          <w:lang w:val="es-ES_tradnl" w:eastAsia="en-US"/>
        </w:rPr>
        <w:t>Corresponde al Departamento de Recursos Humanos planificar y dirigir los diferentes aspectos relacionados con el reclutamiento, la selección y el nombramiento del personal del Instituto y coordinar con la Comisión de selección de personal en lo que corresponda</w:t>
      </w:r>
      <w:r>
        <w:rPr>
          <w:rFonts w:ascii="Arial" w:eastAsia="SimSun" w:hAnsi="Arial" w:cs="Arial"/>
          <w:i/>
          <w:iCs/>
          <w:sz w:val="22"/>
          <w:szCs w:val="22"/>
          <w:lang w:val="es-ES_tradnl" w:eastAsia="en-US"/>
        </w:rPr>
        <w:t>”</w:t>
      </w:r>
      <w:r w:rsidRPr="00C90F7F">
        <w:rPr>
          <w:rFonts w:ascii="Arial" w:eastAsia="SimSun" w:hAnsi="Arial" w:cs="Arial"/>
          <w:i/>
          <w:iCs/>
          <w:sz w:val="22"/>
          <w:szCs w:val="22"/>
          <w:lang w:val="es-ES_tradnl" w:eastAsia="en-US"/>
        </w:rPr>
        <w:t>.</w:t>
      </w:r>
    </w:p>
    <w:p w:rsidR="00C90F7F" w:rsidRPr="00C90F7F" w:rsidRDefault="00C90F7F" w:rsidP="00C90F7F">
      <w:pPr>
        <w:ind w:left="360"/>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El artículo 3 de la Segunda Convención Colectiva y sus Reformas</w:t>
      </w:r>
      <w:r>
        <w:rPr>
          <w:rFonts w:ascii="Arial" w:eastAsia="Cambria" w:hAnsi="Arial" w:cs="Arial"/>
          <w:lang w:val="es-ES_tradnl" w:eastAsia="en-US"/>
        </w:rPr>
        <w:t>,</w:t>
      </w:r>
      <w:r w:rsidRPr="00C90F7F">
        <w:rPr>
          <w:rFonts w:ascii="Arial" w:eastAsia="Cambria" w:hAnsi="Arial" w:cs="Arial"/>
          <w:lang w:val="es-ES_tradnl" w:eastAsia="en-US"/>
        </w:rPr>
        <w:t xml:space="preserve"> establece:</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keepNext/>
        <w:ind w:left="993" w:right="191"/>
        <w:jc w:val="both"/>
        <w:outlineLvl w:val="1"/>
        <w:rPr>
          <w:rFonts w:ascii="Arial" w:eastAsia="Cambria" w:hAnsi="Arial" w:cs="Arial"/>
          <w:b/>
          <w:i/>
          <w:spacing w:val="-3"/>
          <w:sz w:val="22"/>
          <w:szCs w:val="22"/>
          <w:lang w:val="es-ES_tradnl" w:eastAsia="en-US"/>
        </w:rPr>
      </w:pPr>
      <w:r w:rsidRPr="00C90F7F">
        <w:rPr>
          <w:rFonts w:ascii="Arial" w:eastAsia="Cambria" w:hAnsi="Arial" w:cs="Arial"/>
          <w:b/>
          <w:i/>
          <w:spacing w:val="-3"/>
          <w:sz w:val="22"/>
          <w:szCs w:val="22"/>
          <w:lang w:val="es-ES_tradnl" w:eastAsia="en-US"/>
        </w:rPr>
        <w:t>“Artículo 3</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993" w:right="191"/>
        <w:jc w:val="both"/>
        <w:rPr>
          <w:rFonts w:ascii="Arial" w:eastAsia="Cambria" w:hAnsi="Arial" w:cs="Arial"/>
          <w:i/>
          <w:spacing w:val="-3"/>
          <w:sz w:val="22"/>
          <w:szCs w:val="22"/>
          <w:lang w:val="es-ES_tradnl" w:eastAsia="en-US"/>
        </w:rPr>
      </w:pPr>
      <w:r w:rsidRPr="00C90F7F">
        <w:rPr>
          <w:rFonts w:ascii="Arial" w:eastAsia="Cambria" w:hAnsi="Arial" w:cs="Arial"/>
          <w:i/>
          <w:spacing w:val="-3"/>
          <w:sz w:val="22"/>
          <w:szCs w:val="22"/>
          <w:lang w:val="es-ES_tradnl" w:eastAsia="en-US"/>
        </w:rPr>
        <w:t xml:space="preserve">Con fundamento en el artículo 15 de la Ley Orgánica, en el Instituto el régimen de empleo es de naturaleza privada, que se regirá por la presente Convención, el Estatuto Orgánico, los Convenios Internacionales de la Organización Internacional </w:t>
      </w:r>
      <w:r w:rsidRPr="00C90F7F">
        <w:rPr>
          <w:rFonts w:ascii="Arial" w:eastAsia="Cambria" w:hAnsi="Arial" w:cs="Arial"/>
          <w:i/>
          <w:spacing w:val="-3"/>
          <w:sz w:val="22"/>
          <w:szCs w:val="22"/>
          <w:lang w:val="es-ES_tradnl" w:eastAsia="en-US"/>
        </w:rPr>
        <w:lastRenderedPageBreak/>
        <w:t>del Trabajo ratificados por el Estado en lo que superen lo estipulado en la Legislación Nacional, el Código de Trabajo, los reglamentos que emita el Consejo Institucional, los principios generales de derecho del trabajo y demás normas supletorias y conexas.</w:t>
      </w:r>
    </w:p>
    <w:p w:rsidR="00C90F7F" w:rsidRPr="00C90F7F" w:rsidRDefault="00C90F7F" w:rsidP="00C90F7F">
      <w:pPr>
        <w:ind w:left="708"/>
        <w:rPr>
          <w:rFonts w:ascii="Arial" w:eastAsia="Calibri" w:hAnsi="Arial" w:cs="Arial"/>
          <w:b/>
          <w:i/>
          <w:sz w:val="16"/>
          <w:szCs w:val="16"/>
          <w:lang w:val="es-CR"/>
        </w:rPr>
      </w:pPr>
    </w:p>
    <w:p w:rsidR="00C90F7F" w:rsidRPr="00C90F7F" w:rsidRDefault="00C90F7F" w:rsidP="00C90F7F">
      <w:pPr>
        <w:ind w:left="993" w:right="191"/>
        <w:jc w:val="both"/>
        <w:rPr>
          <w:rFonts w:ascii="Arial" w:eastAsia="Cambria" w:hAnsi="Arial" w:cs="Arial"/>
          <w:i/>
          <w:spacing w:val="-3"/>
          <w:sz w:val="22"/>
          <w:szCs w:val="22"/>
          <w:lang w:val="es-ES_tradnl" w:eastAsia="en-US"/>
        </w:rPr>
      </w:pPr>
      <w:r w:rsidRPr="00C90F7F">
        <w:rPr>
          <w:rFonts w:ascii="Arial" w:eastAsia="Cambria" w:hAnsi="Arial" w:cs="Arial"/>
          <w:i/>
          <w:spacing w:val="-3"/>
          <w:sz w:val="22"/>
          <w:szCs w:val="22"/>
          <w:lang w:val="es-ES_tradnl" w:eastAsia="en-US"/>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C90F7F" w:rsidRPr="00C90F7F" w:rsidRDefault="00C90F7F" w:rsidP="00C90F7F">
      <w:pPr>
        <w:rPr>
          <w:rFonts w:ascii="Arial" w:eastAsia="Calibri" w:hAnsi="Arial" w:cs="Arial"/>
          <w:b/>
          <w:i/>
          <w:sz w:val="16"/>
          <w:szCs w:val="16"/>
          <w:lang w:val="es-CR"/>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 xml:space="preserve">Por acuerdo de la </w:t>
      </w:r>
      <w:r w:rsidRPr="00C90F7F">
        <w:rPr>
          <w:rFonts w:ascii="Arial" w:eastAsia="Calibri" w:hAnsi="Arial" w:cs="Arial"/>
          <w:sz w:val="22"/>
          <w:szCs w:val="22"/>
        </w:rPr>
        <w:t xml:space="preserve">Sesión Ordinaria No. 3090, artículo 13, del 04 de octubre de 2018, se sometió a </w:t>
      </w:r>
      <w:r w:rsidRPr="00C90F7F">
        <w:rPr>
          <w:rFonts w:ascii="Arial" w:hAnsi="Arial" w:cs="Arial"/>
          <w:sz w:val="22"/>
          <w:szCs w:val="22"/>
        </w:rPr>
        <w:t>consulta de la AFITEC y a la Comunidad Institucional la propuesta de reforma del “Reglamento para concursos de antecedentes internos y externos del personal del Instituto Tecnológico de Costa Rica” consistente en la introducción de la definición de “Concurso de antecedentes anulado” y de dos artículos nuevos que establecen causales de nulidad absoluta y relativa, respectivamente, de un concurso.</w:t>
      </w:r>
    </w:p>
    <w:p w:rsidR="00C90F7F" w:rsidRPr="00C90F7F" w:rsidRDefault="00C90F7F" w:rsidP="00C90F7F">
      <w:pPr>
        <w:ind w:left="360"/>
        <w:jc w:val="both"/>
        <w:rPr>
          <w:rFonts w:ascii="Arial" w:eastAsia="Cambria" w:hAnsi="Arial" w:cs="Arial"/>
          <w:lang w:val="es-ES_tradnl" w:eastAsia="en-US"/>
        </w:rPr>
      </w:pPr>
    </w:p>
    <w:p w:rsidR="00C90F7F" w:rsidRPr="00C90F7F" w:rsidRDefault="00C90F7F" w:rsidP="00C90F7F">
      <w:pPr>
        <w:numPr>
          <w:ilvl w:val="0"/>
          <w:numId w:val="11"/>
        </w:numPr>
        <w:tabs>
          <w:tab w:val="clear" w:pos="825"/>
          <w:tab w:val="num" w:pos="465"/>
        </w:tabs>
        <w:ind w:left="490"/>
        <w:jc w:val="both"/>
        <w:rPr>
          <w:rFonts w:ascii="Arial" w:eastAsia="Cambria" w:hAnsi="Arial" w:cs="Arial"/>
          <w:lang w:val="es-ES_tradnl" w:eastAsia="en-US"/>
        </w:rPr>
      </w:pPr>
      <w:r w:rsidRPr="00C90F7F">
        <w:rPr>
          <w:rFonts w:ascii="Arial" w:eastAsia="Cambria" w:hAnsi="Arial" w:cs="Arial"/>
          <w:lang w:val="es-ES_tradnl" w:eastAsia="en-US"/>
        </w:rPr>
        <w:t xml:space="preserve">Vencido el plazo establecido en el acuerdo de la </w:t>
      </w:r>
      <w:r w:rsidRPr="00C90F7F">
        <w:rPr>
          <w:rFonts w:ascii="Arial" w:eastAsia="Calibri" w:hAnsi="Arial" w:cs="Arial"/>
          <w:sz w:val="22"/>
          <w:szCs w:val="22"/>
        </w:rPr>
        <w:t>Sesión Ordinaria No. 3090, artículo 13, del 04 de octubre de 2018, se recibieron observaciones y recomendaciones de la Comisión de Selección de Personal de la Escuela de Física y de la Comisión de Reglamentos de la Escuela de Idiomas y Ciencias Sociales</w:t>
      </w:r>
      <w:r>
        <w:rPr>
          <w:rFonts w:ascii="Arial" w:eastAsia="Calibri" w:hAnsi="Arial" w:cs="Arial"/>
          <w:sz w:val="22"/>
          <w:szCs w:val="22"/>
        </w:rPr>
        <w:t>,</w:t>
      </w:r>
      <w:r w:rsidRPr="00C90F7F">
        <w:rPr>
          <w:rFonts w:ascii="Arial" w:eastAsia="Calibri" w:hAnsi="Arial" w:cs="Arial"/>
          <w:sz w:val="22"/>
          <w:szCs w:val="22"/>
        </w:rPr>
        <w:t xml:space="preserve"> en conjunto con el Director de esa Escuela.</w:t>
      </w:r>
    </w:p>
    <w:p w:rsidR="00C90F7F" w:rsidRPr="00C90F7F" w:rsidRDefault="00C90F7F" w:rsidP="00C90F7F">
      <w:pPr>
        <w:ind w:left="360"/>
        <w:jc w:val="both"/>
        <w:rPr>
          <w:rFonts w:ascii="Arial" w:eastAsia="Cambria" w:hAnsi="Arial" w:cs="Arial"/>
          <w:lang w:eastAsia="en-US"/>
        </w:rPr>
      </w:pPr>
    </w:p>
    <w:p w:rsidR="00C90F7F" w:rsidRPr="00C90F7F" w:rsidRDefault="00C90F7F" w:rsidP="00C90F7F">
      <w:pPr>
        <w:contextualSpacing/>
        <w:jc w:val="both"/>
        <w:outlineLvl w:val="0"/>
        <w:rPr>
          <w:rFonts w:ascii="Arial" w:hAnsi="Arial" w:cs="Arial"/>
          <w:b/>
          <w:lang w:val="es-CR"/>
        </w:rPr>
      </w:pPr>
      <w:bookmarkStart w:id="1" w:name="_Toc272225920"/>
      <w:bookmarkStart w:id="2" w:name="_Toc272238511"/>
      <w:bookmarkStart w:id="3" w:name="_Toc274319984"/>
      <w:r w:rsidRPr="00C90F7F">
        <w:rPr>
          <w:rFonts w:ascii="Arial" w:hAnsi="Arial" w:cs="Arial"/>
          <w:b/>
          <w:lang w:val="es-CR"/>
        </w:rPr>
        <w:t>CONSIDERANDO QUE:</w:t>
      </w:r>
    </w:p>
    <w:p w:rsidR="00C90F7F" w:rsidRPr="00C90F7F" w:rsidRDefault="00C90F7F" w:rsidP="00C90F7F">
      <w:pPr>
        <w:jc w:val="both"/>
        <w:rPr>
          <w:rFonts w:ascii="Arial" w:hAnsi="Arial" w:cs="Arial"/>
          <w:lang w:val="es-CR"/>
        </w:rPr>
      </w:pPr>
    </w:p>
    <w:p w:rsidR="00C90F7F" w:rsidRPr="00C90F7F" w:rsidRDefault="00C90F7F" w:rsidP="00C90F7F">
      <w:pPr>
        <w:numPr>
          <w:ilvl w:val="0"/>
          <w:numId w:val="27"/>
        </w:numPr>
        <w:ind w:left="364"/>
        <w:jc w:val="both"/>
        <w:rPr>
          <w:rFonts w:ascii="Arial" w:eastAsia="Cambria" w:hAnsi="Arial" w:cs="Arial"/>
          <w:lang w:eastAsia="en-US"/>
        </w:rPr>
      </w:pPr>
      <w:r w:rsidRPr="00C90F7F">
        <w:rPr>
          <w:rFonts w:ascii="Arial" w:eastAsia="Cambria" w:hAnsi="Arial" w:cs="Arial"/>
          <w:lang w:val="es-ES_tradnl" w:eastAsia="en-US"/>
        </w:rPr>
        <w:t>Efectivamente el “Reglamento para concursos de antecedentes internos y externos del personal del Instituto Tecnológico de Costa Rica”, no contiene disposiciones que permitan la declaración de nulidad absoluta o relativa de un concurso.</w:t>
      </w:r>
    </w:p>
    <w:p w:rsidR="00C90F7F" w:rsidRPr="00C90F7F" w:rsidRDefault="00C90F7F" w:rsidP="00C90F7F">
      <w:pPr>
        <w:ind w:left="364"/>
        <w:jc w:val="both"/>
        <w:rPr>
          <w:rFonts w:ascii="Arial" w:eastAsia="Cambria" w:hAnsi="Arial" w:cs="Arial"/>
          <w:lang w:eastAsia="en-US"/>
        </w:rPr>
      </w:pPr>
    </w:p>
    <w:p w:rsidR="00C90F7F" w:rsidRPr="00C90F7F" w:rsidRDefault="00C90F7F" w:rsidP="00C90F7F">
      <w:pPr>
        <w:numPr>
          <w:ilvl w:val="0"/>
          <w:numId w:val="27"/>
        </w:numPr>
        <w:ind w:left="364"/>
        <w:jc w:val="both"/>
        <w:rPr>
          <w:rFonts w:ascii="Arial" w:eastAsia="Cambria" w:hAnsi="Arial" w:cs="Arial"/>
          <w:lang w:eastAsia="en-US"/>
        </w:rPr>
      </w:pPr>
      <w:r w:rsidRPr="00C90F7F">
        <w:rPr>
          <w:rFonts w:ascii="Arial" w:eastAsia="Cambria" w:hAnsi="Arial" w:cs="Arial"/>
          <w:lang w:eastAsia="en-US"/>
        </w:rPr>
        <w:t>La experiencia institucional</w:t>
      </w:r>
      <w:r>
        <w:rPr>
          <w:rFonts w:ascii="Arial" w:eastAsia="Cambria" w:hAnsi="Arial" w:cs="Arial"/>
          <w:lang w:eastAsia="en-US"/>
        </w:rPr>
        <w:t>,</w:t>
      </w:r>
      <w:r w:rsidRPr="00C90F7F">
        <w:rPr>
          <w:rFonts w:ascii="Arial" w:eastAsia="Cambria" w:hAnsi="Arial" w:cs="Arial"/>
          <w:lang w:eastAsia="en-US"/>
        </w:rPr>
        <w:t xml:space="preserve"> generada con el desarrollo de concursos realizados por aplicación del </w:t>
      </w:r>
      <w:r w:rsidRPr="00C90F7F">
        <w:rPr>
          <w:rFonts w:ascii="Arial" w:eastAsia="Cambria" w:hAnsi="Arial" w:cs="Arial"/>
          <w:lang w:val="es-ES_tradnl" w:eastAsia="en-US"/>
        </w:rPr>
        <w:t>“Reglamento para concursos de antecedentes internos y externos del personal del Instituto Tecnológico de Costa Rica”</w:t>
      </w:r>
      <w:r w:rsidRPr="00C90F7F">
        <w:rPr>
          <w:rFonts w:ascii="Arial" w:eastAsia="Cambria" w:hAnsi="Arial" w:cs="Arial"/>
          <w:lang w:eastAsia="en-US"/>
        </w:rPr>
        <w:t xml:space="preserve">, indica que se presentan situaciones que han exigido la declaratoria de nulidades, en algunos casos absolutas y en otras relativas, lo que se ha tenido que hacer con base en normativa externa al Instituto. </w:t>
      </w:r>
    </w:p>
    <w:p w:rsidR="00C90F7F" w:rsidRPr="00C90F7F" w:rsidRDefault="00C90F7F" w:rsidP="00C90F7F">
      <w:pPr>
        <w:ind w:left="364"/>
        <w:jc w:val="both"/>
        <w:rPr>
          <w:rFonts w:ascii="Arial" w:eastAsia="Cambria" w:hAnsi="Arial" w:cs="Arial"/>
          <w:bCs/>
          <w:iCs/>
          <w:lang w:val="es-ES_tradnl" w:eastAsia="en-US"/>
        </w:rPr>
      </w:pPr>
    </w:p>
    <w:p w:rsidR="00C90F7F" w:rsidRPr="00C90F7F" w:rsidRDefault="00C90F7F" w:rsidP="00C90F7F">
      <w:pPr>
        <w:numPr>
          <w:ilvl w:val="0"/>
          <w:numId w:val="27"/>
        </w:numPr>
        <w:ind w:left="364"/>
        <w:jc w:val="both"/>
        <w:rPr>
          <w:rFonts w:ascii="Arial" w:eastAsia="Cambria" w:hAnsi="Arial" w:cs="Arial"/>
          <w:lang w:eastAsia="en-US"/>
        </w:rPr>
      </w:pPr>
      <w:r w:rsidRPr="00C90F7F">
        <w:rPr>
          <w:rFonts w:ascii="Arial" w:eastAsia="Cambria" w:hAnsi="Arial" w:cs="Arial"/>
          <w:lang w:eastAsia="en-US"/>
        </w:rPr>
        <w:t xml:space="preserve">La Oficina de Asesoría Legal emitió criterio en el oficio </w:t>
      </w:r>
      <w:bookmarkStart w:id="4" w:name="_Hlk525769139"/>
      <w:r w:rsidRPr="00C90F7F">
        <w:rPr>
          <w:rFonts w:ascii="Arial" w:eastAsia="Cambria" w:hAnsi="Arial" w:cs="Arial"/>
          <w:lang w:eastAsia="en-US"/>
        </w:rPr>
        <w:t>AL-430-2018</w:t>
      </w:r>
      <w:bookmarkEnd w:id="4"/>
      <w:r w:rsidRPr="00C90F7F">
        <w:rPr>
          <w:rFonts w:ascii="Arial" w:eastAsia="Cambria" w:hAnsi="Arial" w:cs="Arial"/>
          <w:lang w:eastAsia="en-US"/>
        </w:rPr>
        <w:t>, en el cual indica no tener objeciones a la propuesta de reforma al “Reglamento para concursos de antecedentes internos y externos del personal del Instituto Tecnológico de Costa Rica”, solicitada en el oficio RH-269-2018.</w:t>
      </w:r>
    </w:p>
    <w:p w:rsidR="00C90F7F" w:rsidRPr="00C90F7F" w:rsidRDefault="00C90F7F" w:rsidP="00C90F7F">
      <w:pPr>
        <w:ind w:left="708"/>
        <w:rPr>
          <w:rFonts w:ascii="Arial" w:eastAsia="Cambria" w:hAnsi="Arial" w:cs="Arial"/>
          <w:lang w:eastAsia="en-US"/>
        </w:rPr>
      </w:pPr>
    </w:p>
    <w:p w:rsidR="00C90F7F" w:rsidRPr="00C90F7F" w:rsidRDefault="00C90F7F" w:rsidP="00C90F7F">
      <w:pPr>
        <w:numPr>
          <w:ilvl w:val="0"/>
          <w:numId w:val="27"/>
        </w:numPr>
        <w:ind w:left="364"/>
        <w:jc w:val="both"/>
        <w:rPr>
          <w:rFonts w:ascii="Arial" w:eastAsia="Cambria" w:hAnsi="Arial" w:cs="Arial"/>
          <w:lang w:eastAsia="en-US"/>
        </w:rPr>
      </w:pPr>
      <w:r w:rsidRPr="00C90F7F">
        <w:rPr>
          <w:rFonts w:ascii="Arial" w:eastAsia="Cambria" w:hAnsi="Arial" w:cs="Arial"/>
          <w:lang w:eastAsia="en-US"/>
        </w:rPr>
        <w:t xml:space="preserve">La Comisión de Planificación y Administración analizó, en la reunión 800-2018 realizada el 11 de diciembre de 2018, las recomendaciones y observaciones recibidas de parte de la </w:t>
      </w:r>
      <w:r w:rsidRPr="00C90F7F">
        <w:rPr>
          <w:rFonts w:ascii="Arial" w:eastAsia="Calibri" w:hAnsi="Arial" w:cs="Arial"/>
          <w:sz w:val="22"/>
          <w:szCs w:val="22"/>
        </w:rPr>
        <w:t xml:space="preserve">Comisión de Selección de Personal de la Escuela de Física y de la Comisión de Reglamentos de la Escuela de Idiomas y Ciencias Sociales en conjunto con el Director de </w:t>
      </w:r>
      <w:r w:rsidR="00B15322" w:rsidRPr="00791D2B">
        <w:rPr>
          <w:rFonts w:ascii="Arial" w:eastAsia="Calibri" w:hAnsi="Arial" w:cs="Arial"/>
          <w:sz w:val="22"/>
          <w:szCs w:val="22"/>
        </w:rPr>
        <w:t xml:space="preserve">ambas </w:t>
      </w:r>
      <w:r w:rsidRPr="00C90F7F">
        <w:rPr>
          <w:rFonts w:ascii="Arial" w:eastAsia="Calibri" w:hAnsi="Arial" w:cs="Arial"/>
          <w:sz w:val="22"/>
          <w:szCs w:val="22"/>
        </w:rPr>
        <w:t>Escuela</w:t>
      </w:r>
      <w:r w:rsidR="00B15322" w:rsidRPr="00791D2B">
        <w:rPr>
          <w:rFonts w:ascii="Arial" w:eastAsia="Calibri" w:hAnsi="Arial" w:cs="Arial"/>
          <w:sz w:val="22"/>
          <w:szCs w:val="22"/>
        </w:rPr>
        <w:t>s</w:t>
      </w:r>
      <w:r w:rsidRPr="00C90F7F">
        <w:rPr>
          <w:rFonts w:ascii="Arial" w:eastAsia="Calibri" w:hAnsi="Arial" w:cs="Arial"/>
          <w:sz w:val="22"/>
          <w:szCs w:val="22"/>
        </w:rPr>
        <w:t xml:space="preserve"> de la Escuela de Idiomas y Ciencias Sociales en conjunto con el Director de esa Escuela, acogiendo las que consideró pertinentes.</w:t>
      </w:r>
    </w:p>
    <w:p w:rsidR="00C90F7F" w:rsidRPr="00C90F7F" w:rsidRDefault="00C90F7F" w:rsidP="00C90F7F">
      <w:pPr>
        <w:ind w:left="708"/>
        <w:rPr>
          <w:rFonts w:ascii="Arial" w:eastAsia="Cambria" w:hAnsi="Arial" w:cs="Arial"/>
          <w:lang w:eastAsia="en-US"/>
        </w:rPr>
      </w:pPr>
    </w:p>
    <w:p w:rsidR="00C90F7F" w:rsidRPr="00C90F7F" w:rsidRDefault="00C90F7F" w:rsidP="00C90F7F">
      <w:pPr>
        <w:numPr>
          <w:ilvl w:val="0"/>
          <w:numId w:val="27"/>
        </w:numPr>
        <w:ind w:left="364"/>
        <w:jc w:val="both"/>
        <w:rPr>
          <w:rFonts w:ascii="Arial" w:eastAsia="Cambria" w:hAnsi="Arial" w:cs="Arial"/>
          <w:lang w:eastAsia="en-US"/>
        </w:rPr>
      </w:pPr>
      <w:r w:rsidRPr="00C90F7F">
        <w:rPr>
          <w:rFonts w:ascii="Arial" w:eastAsia="Cambria" w:hAnsi="Arial" w:cs="Arial"/>
          <w:lang w:eastAsia="en-US"/>
        </w:rPr>
        <w:t>Los procesos para realizar los concursos de antecedentes</w:t>
      </w:r>
      <w:r>
        <w:rPr>
          <w:rFonts w:ascii="Arial" w:eastAsia="Cambria" w:hAnsi="Arial" w:cs="Arial"/>
          <w:lang w:eastAsia="en-US"/>
        </w:rPr>
        <w:t>,</w:t>
      </w:r>
      <w:r w:rsidRPr="00C90F7F">
        <w:rPr>
          <w:rFonts w:ascii="Arial" w:eastAsia="Cambria" w:hAnsi="Arial" w:cs="Arial"/>
          <w:lang w:eastAsia="en-US"/>
        </w:rPr>
        <w:t xml:space="preserve"> suelen tomar mucho tiempo y consumir una cantidad importante de recursos institucionales, </w:t>
      </w:r>
      <w:proofErr w:type="gramStart"/>
      <w:r w:rsidRPr="00C90F7F">
        <w:rPr>
          <w:rFonts w:ascii="Arial" w:eastAsia="Cambria" w:hAnsi="Arial" w:cs="Arial"/>
          <w:lang w:eastAsia="en-US"/>
        </w:rPr>
        <w:t>y</w:t>
      </w:r>
      <w:proofErr w:type="gramEnd"/>
      <w:r w:rsidRPr="00C90F7F">
        <w:rPr>
          <w:rFonts w:ascii="Arial" w:eastAsia="Cambria" w:hAnsi="Arial" w:cs="Arial"/>
          <w:lang w:eastAsia="en-US"/>
        </w:rPr>
        <w:t xml:space="preserve"> además, tienen implicaciones en la estabilidad laboral de las y los funcionarios, por lo que es necesario reducir en lo posible su anulación total.</w:t>
      </w:r>
    </w:p>
    <w:p w:rsidR="00C90F7F" w:rsidRPr="00C90F7F" w:rsidRDefault="00C90F7F" w:rsidP="00C90F7F">
      <w:pPr>
        <w:rPr>
          <w:rFonts w:ascii="Arial" w:eastAsia="Cambria" w:hAnsi="Arial" w:cs="Arial"/>
          <w:lang w:eastAsia="en-US"/>
        </w:rPr>
      </w:pPr>
    </w:p>
    <w:bookmarkEnd w:id="1"/>
    <w:bookmarkEnd w:id="2"/>
    <w:bookmarkEnd w:id="3"/>
    <w:p w:rsidR="00C90F7F" w:rsidRPr="00C90F7F" w:rsidRDefault="00C90F7F" w:rsidP="00C90F7F">
      <w:pPr>
        <w:jc w:val="both"/>
        <w:rPr>
          <w:rFonts w:ascii="Arial" w:hAnsi="Arial" w:cs="Arial"/>
          <w:b/>
          <w:lang w:val="es-CR"/>
        </w:rPr>
      </w:pPr>
      <w:r w:rsidRPr="00C90F7F">
        <w:rPr>
          <w:rFonts w:ascii="Arial" w:hAnsi="Arial" w:cs="Arial"/>
          <w:b/>
          <w:lang w:val="es-CR"/>
        </w:rPr>
        <w:t>SE</w:t>
      </w:r>
      <w:r>
        <w:rPr>
          <w:rFonts w:ascii="Arial" w:hAnsi="Arial" w:cs="Arial"/>
          <w:b/>
          <w:lang w:val="es-CR"/>
        </w:rPr>
        <w:t xml:space="preserve"> ACUERDA</w:t>
      </w:r>
      <w:r w:rsidRPr="00C90F7F">
        <w:rPr>
          <w:rFonts w:ascii="Arial" w:hAnsi="Arial" w:cs="Arial"/>
          <w:b/>
          <w:lang w:val="es-CR"/>
        </w:rPr>
        <w:t>:</w:t>
      </w:r>
    </w:p>
    <w:p w:rsidR="00C90F7F" w:rsidRPr="00C90F7F" w:rsidRDefault="00C90F7F" w:rsidP="00C90F7F">
      <w:pPr>
        <w:jc w:val="both"/>
        <w:rPr>
          <w:rFonts w:ascii="Arial" w:hAnsi="Arial" w:cs="Arial"/>
          <w:b/>
          <w:lang w:val="es-CR"/>
        </w:rPr>
      </w:pPr>
    </w:p>
    <w:p w:rsidR="00C90F7F" w:rsidRPr="00C90F7F" w:rsidRDefault="00C90F7F" w:rsidP="00C90F7F">
      <w:pPr>
        <w:numPr>
          <w:ilvl w:val="0"/>
          <w:numId w:val="26"/>
        </w:numPr>
        <w:ind w:left="420" w:right="-91" w:hanging="406"/>
        <w:jc w:val="both"/>
        <w:rPr>
          <w:rFonts w:ascii="Arial" w:hAnsi="Arial" w:cs="Arial"/>
        </w:rPr>
      </w:pPr>
      <w:r w:rsidRPr="00C90F7F">
        <w:rPr>
          <w:rFonts w:ascii="Arial" w:hAnsi="Arial" w:cs="Arial"/>
        </w:rPr>
        <w:t xml:space="preserve">Introducir las siguientes reformas al </w:t>
      </w:r>
      <w:r w:rsidRPr="00C90F7F">
        <w:rPr>
          <w:rFonts w:ascii="Arial" w:eastAsia="Cambria" w:hAnsi="Arial" w:cs="Arial"/>
          <w:lang w:eastAsia="en-US"/>
        </w:rPr>
        <w:t xml:space="preserve">“Reglamento para concursos de antecedentes internos y externos del personal del Instituto Tecnológico de Costa Rica”: </w:t>
      </w:r>
    </w:p>
    <w:p w:rsidR="00C90F7F" w:rsidRPr="00C90F7F" w:rsidRDefault="00C90F7F" w:rsidP="00C90F7F">
      <w:pPr>
        <w:ind w:left="348" w:right="474"/>
        <w:jc w:val="both"/>
        <w:rPr>
          <w:rFonts w:ascii="Arial" w:eastAsia="Cambria" w:hAnsi="Arial" w:cs="Arial"/>
          <w:i/>
          <w:sz w:val="20"/>
          <w:lang w:val="es-ES_tradnl" w:eastAsia="en-US"/>
        </w:rPr>
      </w:pPr>
    </w:p>
    <w:p w:rsidR="00C90F7F" w:rsidRPr="00C90F7F" w:rsidRDefault="00C90F7F" w:rsidP="00C90F7F">
      <w:pPr>
        <w:ind w:left="1134" w:right="49" w:hanging="567"/>
        <w:jc w:val="both"/>
        <w:rPr>
          <w:rFonts w:ascii="Arial" w:eastAsia="Calibri" w:hAnsi="Arial" w:cs="Arial"/>
          <w:lang w:val="es-CR"/>
        </w:rPr>
      </w:pPr>
      <w:r w:rsidRPr="00C90F7F">
        <w:rPr>
          <w:rFonts w:ascii="Arial" w:eastAsia="Calibri" w:hAnsi="Arial" w:cs="Arial"/>
          <w:b/>
          <w:lang w:val="es-ES_tradnl"/>
        </w:rPr>
        <w:t>a.1.</w:t>
      </w:r>
      <w:r w:rsidRPr="00C90F7F">
        <w:rPr>
          <w:rFonts w:ascii="Arial" w:eastAsia="Calibri" w:hAnsi="Arial" w:cs="Arial"/>
          <w:lang w:val="es-ES_tradnl"/>
        </w:rPr>
        <w:t xml:space="preserve"> </w:t>
      </w:r>
      <w:r w:rsidRPr="00C90F7F">
        <w:rPr>
          <w:rFonts w:ascii="Arial" w:eastAsia="Calibri" w:hAnsi="Arial" w:cs="Arial"/>
          <w:lang w:val="es-CR"/>
        </w:rPr>
        <w:t>Incorporar la definición de “Concurso de antecedentes anulado” en el artículo 4, según el siguiente texto:</w:t>
      </w:r>
    </w:p>
    <w:p w:rsidR="00C90F7F" w:rsidRPr="00C90F7F" w:rsidRDefault="00C90F7F" w:rsidP="00C90F7F">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 </w:t>
      </w:r>
    </w:p>
    <w:p w:rsidR="00C90F7F" w:rsidRPr="00C90F7F" w:rsidRDefault="00C90F7F" w:rsidP="00C90F7F">
      <w:pPr>
        <w:ind w:left="993" w:right="49"/>
        <w:jc w:val="both"/>
        <w:rPr>
          <w:rFonts w:ascii="Arial" w:eastAsia="Cambria" w:hAnsi="Arial" w:cs="Arial"/>
          <w:lang w:val="es-ES_tradnl" w:eastAsia="en-US"/>
        </w:rPr>
      </w:pPr>
      <w:r w:rsidRPr="00C90F7F">
        <w:rPr>
          <w:rFonts w:ascii="Arial" w:hAnsi="Arial" w:cs="Arial"/>
        </w:rPr>
        <w:t>Concurso anulado total o parcialmente cuando</w:t>
      </w:r>
      <w:r w:rsidRPr="00C90F7F">
        <w:t> </w:t>
      </w:r>
      <w:r w:rsidRPr="00C90F7F">
        <w:rPr>
          <w:rFonts w:ascii="Arial" w:eastAsia="Cambria" w:hAnsi="Arial" w:cs="Arial"/>
          <w:lang w:val="es-ES_tradnl" w:eastAsia="en-US"/>
        </w:rPr>
        <w:t>se detecta alguna anomalía o irregularidad que vicia o impide la conservación y continuidad de éste. En caso de anulación total, se requiere iniciar todo el procedimiento. En caso de anulación parcial, se retrotraerá a una fase de este.</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ind w:left="1134" w:right="49" w:hanging="567"/>
        <w:jc w:val="both"/>
        <w:rPr>
          <w:rFonts w:ascii="Arial" w:eastAsia="Cambria" w:hAnsi="Arial" w:cs="Arial"/>
          <w:lang w:val="es-ES_tradnl" w:eastAsia="en-US"/>
        </w:rPr>
      </w:pPr>
      <w:r w:rsidRPr="00C90F7F">
        <w:rPr>
          <w:rFonts w:ascii="Arial" w:eastAsia="Calibri" w:hAnsi="Arial" w:cs="Arial"/>
          <w:b/>
          <w:lang w:val="es-ES_tradnl"/>
        </w:rPr>
        <w:t>a.2.</w:t>
      </w:r>
      <w:r w:rsidRPr="00C90F7F">
        <w:rPr>
          <w:rFonts w:ascii="Arial" w:eastAsia="Calibri" w:hAnsi="Arial" w:cs="Arial"/>
          <w:lang w:val="es-CR"/>
        </w:rPr>
        <w:t xml:space="preserve"> Incorporar dos artículos nuevos, según el texto respectivo:</w:t>
      </w:r>
      <w:r w:rsidRPr="00C90F7F">
        <w:rPr>
          <w:rFonts w:ascii="Arial" w:eastAsia="Cambria" w:hAnsi="Arial" w:cs="Arial"/>
          <w:lang w:val="es-ES_tradnl" w:eastAsia="en-US"/>
        </w:rPr>
        <w:t xml:space="preserve"> </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Artículo 34 BIS. Anulación total del concurso </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ind w:left="938" w:right="49"/>
        <w:jc w:val="both"/>
        <w:rPr>
          <w:rFonts w:ascii="Arial" w:eastAsia="Calibri" w:hAnsi="Arial" w:cs="Arial"/>
          <w:lang w:val="es-CR"/>
        </w:rPr>
      </w:pPr>
      <w:r w:rsidRPr="00C90F7F">
        <w:rPr>
          <w:rFonts w:ascii="Arial" w:eastAsia="Cambria" w:hAnsi="Arial" w:cs="Arial"/>
          <w:lang w:val="es-ES_tradnl" w:eastAsia="en-US"/>
        </w:rPr>
        <w:t xml:space="preserve">El Director(a) del Departamento de Recursos Humanos, podrá dictar una anulación total de un concurso de antecedentes, de oficio o ante solicitud de un tercero, cuando se presente alguna </w:t>
      </w:r>
      <w:r w:rsidRPr="00C90F7F">
        <w:rPr>
          <w:rFonts w:ascii="Arial" w:eastAsia="Calibri" w:hAnsi="Arial" w:cs="Arial"/>
          <w:lang w:val="es-CR"/>
        </w:rPr>
        <w:t>irregularidad que vicie el procedimiento de concurso de antecedentes desde su inicio y que valore que no es subsanable.</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Artículo 34 BIS </w:t>
      </w:r>
      <w:proofErr w:type="spellStart"/>
      <w:r w:rsidRPr="00C90F7F">
        <w:rPr>
          <w:rFonts w:ascii="Arial" w:eastAsia="Cambria" w:hAnsi="Arial" w:cs="Arial"/>
          <w:lang w:val="es-ES_tradnl" w:eastAsia="en-US"/>
        </w:rPr>
        <w:t>BIS</w:t>
      </w:r>
      <w:proofErr w:type="spellEnd"/>
      <w:r w:rsidRPr="00C90F7F">
        <w:rPr>
          <w:rFonts w:ascii="Arial" w:eastAsia="Cambria" w:hAnsi="Arial" w:cs="Arial"/>
          <w:lang w:val="es-ES_tradnl" w:eastAsia="en-US"/>
        </w:rPr>
        <w:t>. Anulación parcial del concurso</w:t>
      </w:r>
    </w:p>
    <w:p w:rsidR="00C90F7F" w:rsidRPr="00C90F7F" w:rsidRDefault="00C90F7F" w:rsidP="00C90F7F">
      <w:pPr>
        <w:ind w:left="1204" w:right="49"/>
        <w:jc w:val="both"/>
        <w:rPr>
          <w:rFonts w:ascii="Arial" w:eastAsia="Cambria" w:hAnsi="Arial" w:cs="Arial"/>
          <w:lang w:val="es-ES_tradnl" w:eastAsia="en-US"/>
        </w:rPr>
      </w:pPr>
    </w:p>
    <w:p w:rsidR="00C90F7F" w:rsidRPr="00C90F7F" w:rsidRDefault="00C90F7F" w:rsidP="00C90F7F">
      <w:pPr>
        <w:ind w:left="938" w:right="49"/>
        <w:jc w:val="both"/>
        <w:rPr>
          <w:rFonts w:ascii="Arial" w:eastAsia="Cambria" w:hAnsi="Arial" w:cs="Arial"/>
          <w:lang w:val="es-ES_tradnl" w:eastAsia="en-US"/>
        </w:rPr>
      </w:pPr>
      <w:r w:rsidRPr="00C90F7F">
        <w:rPr>
          <w:rFonts w:ascii="Arial" w:eastAsia="Cambria" w:hAnsi="Arial" w:cs="Arial"/>
          <w:lang w:val="es-ES_tradnl" w:eastAsia="en-US"/>
        </w:rPr>
        <w:t xml:space="preserve">El Director(a) del Departamento de Recursos Humanos, podrá dictar una anulación parcial sobre un concurso de antecedentes, </w:t>
      </w:r>
      <w:r w:rsidRPr="00C90F7F">
        <w:rPr>
          <w:rFonts w:ascii="Arial" w:hAnsi="Arial" w:cs="Arial"/>
        </w:rPr>
        <w:t xml:space="preserve">de oficio o ante solicitud de un tercero, </w:t>
      </w:r>
      <w:r w:rsidRPr="00C90F7F">
        <w:rPr>
          <w:rFonts w:ascii="Arial" w:eastAsia="Cambria" w:hAnsi="Arial" w:cs="Arial"/>
          <w:lang w:val="es-ES_tradnl" w:eastAsia="en-US"/>
        </w:rPr>
        <w:t>cuando se presente alguna de las siguientes condiciones:</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los criterios de selección o pedimento de personal solicitado.</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la publicación del concurso de antecedentes.</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Conformación incorrecta de la comisión de selección.</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la aplicación de pruebas durante el concurso de antecedentes.</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Irregularidades en el otorgamiento de puntuaciones durante el concurso de antecedentes.</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rPr>
      </w:pPr>
      <w:r w:rsidRPr="00C90F7F">
        <w:rPr>
          <w:rFonts w:ascii="Arial" w:eastAsia="Calibri" w:hAnsi="Arial" w:cs="Arial"/>
          <w:lang w:val="es-CR"/>
        </w:rPr>
        <w:t>Detección de errores administrativos relacionados con la inclusión o no de candidatos en el concurso de antecedentes.</w:t>
      </w:r>
    </w:p>
    <w:p w:rsidR="00C90F7F" w:rsidRPr="00C90F7F" w:rsidRDefault="00C90F7F" w:rsidP="00C90F7F">
      <w:pPr>
        <w:numPr>
          <w:ilvl w:val="0"/>
          <w:numId w:val="32"/>
        </w:numPr>
        <w:tabs>
          <w:tab w:val="left" w:pos="7938"/>
          <w:tab w:val="left" w:pos="8080"/>
        </w:tabs>
        <w:ind w:left="1204" w:right="49" w:hanging="284"/>
        <w:contextualSpacing/>
        <w:jc w:val="both"/>
        <w:rPr>
          <w:rFonts w:ascii="Arial" w:eastAsia="Calibri" w:hAnsi="Arial" w:cs="Arial"/>
          <w:lang w:val="es-CR" w:eastAsia="en-US"/>
        </w:rPr>
      </w:pPr>
      <w:r w:rsidRPr="00C90F7F">
        <w:rPr>
          <w:rFonts w:ascii="Arial" w:eastAsia="Calibri" w:hAnsi="Arial" w:cs="Arial"/>
          <w:lang w:val="es-CR"/>
        </w:rPr>
        <w:t>Otra irregularidad que afecte la debida ejecución del procedimiento, pero que sea subsanable</w:t>
      </w:r>
    </w:p>
    <w:p w:rsidR="00C90F7F" w:rsidRPr="00C90F7F" w:rsidRDefault="00C90F7F" w:rsidP="00C90F7F">
      <w:pPr>
        <w:ind w:left="938" w:right="49"/>
        <w:jc w:val="both"/>
        <w:rPr>
          <w:rFonts w:ascii="Arial" w:eastAsia="Cambria" w:hAnsi="Arial" w:cs="Arial"/>
          <w:lang w:val="es-ES_tradnl" w:eastAsia="en-US"/>
        </w:rPr>
      </w:pPr>
    </w:p>
    <w:p w:rsidR="00C90F7F" w:rsidRPr="00C90F7F" w:rsidRDefault="00C90F7F" w:rsidP="00C90F7F">
      <w:pPr>
        <w:ind w:left="938" w:right="49"/>
        <w:jc w:val="both"/>
        <w:rPr>
          <w:rFonts w:ascii="Arial" w:eastAsia="Cambria" w:hAnsi="Arial" w:cs="Arial"/>
          <w:lang w:val="es-ES_tradnl" w:eastAsia="en-US"/>
        </w:rPr>
      </w:pPr>
      <w:r w:rsidRPr="00C90F7F">
        <w:rPr>
          <w:rFonts w:ascii="Arial" w:eastAsia="Cambria" w:hAnsi="Arial" w:cs="Arial"/>
          <w:lang w:val="es-ES_tradnl" w:eastAsia="en-US"/>
        </w:rPr>
        <w:lastRenderedPageBreak/>
        <w:t xml:space="preserve">En los casos de anulación parcial, el proceso se retrotrae al paso en que se presentó el evento que provocó la nulidad. </w:t>
      </w:r>
    </w:p>
    <w:p w:rsidR="00C90F7F" w:rsidRPr="00C90F7F" w:rsidRDefault="00C90F7F" w:rsidP="007742A1">
      <w:pPr>
        <w:jc w:val="both"/>
        <w:rPr>
          <w:rFonts w:ascii="Arial" w:eastAsia="Cambria" w:hAnsi="Arial" w:cs="Arial"/>
          <w:lang w:eastAsia="en-US"/>
        </w:rPr>
      </w:pPr>
    </w:p>
    <w:p w:rsidR="000C7F00" w:rsidRDefault="000C7F00" w:rsidP="007742A1">
      <w:pPr>
        <w:jc w:val="both"/>
        <w:rPr>
          <w:rFonts w:ascii="Arial" w:eastAsia="Cambria" w:hAnsi="Arial" w:cs="Arial"/>
          <w:lang w:val="es-ES_tradnl" w:eastAsia="en-US"/>
        </w:rPr>
      </w:pPr>
    </w:p>
    <w:p w:rsidR="00215C41" w:rsidRPr="000C7F00" w:rsidRDefault="00BB6A5E" w:rsidP="00C90F7F">
      <w:pPr>
        <w:numPr>
          <w:ilvl w:val="0"/>
          <w:numId w:val="26"/>
        </w:numPr>
        <w:ind w:left="420" w:right="-91" w:hanging="40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C7F00" w:rsidRDefault="000C7F00" w:rsidP="000C7F00">
      <w:pPr>
        <w:contextualSpacing/>
        <w:jc w:val="both"/>
        <w:rPr>
          <w:rFonts w:ascii="Arial" w:hAnsi="Arial" w:cs="Arial"/>
          <w:b/>
          <w:lang w:val="es-CR"/>
        </w:rPr>
      </w:pPr>
    </w:p>
    <w:p w:rsidR="00C90F7F" w:rsidRPr="00C90F7F" w:rsidRDefault="00C90F7F" w:rsidP="00C90F7F">
      <w:pPr>
        <w:jc w:val="both"/>
        <w:rPr>
          <w:rFonts w:ascii="Arial" w:eastAsia="Cambria" w:hAnsi="Arial" w:cs="Arial"/>
          <w:b/>
          <w:lang w:eastAsia="en-US"/>
        </w:rPr>
      </w:pPr>
      <w:r w:rsidRPr="00C90F7F">
        <w:rPr>
          <w:rFonts w:ascii="Arial" w:eastAsia="Cambria" w:hAnsi="Arial" w:cs="Arial"/>
          <w:b/>
          <w:lang w:val="es-ES_tradnl" w:eastAsia="en-US"/>
        </w:rPr>
        <w:t xml:space="preserve">Palabras clave:  Reforma - Reglamento – Concursos – Internos – Externos -  anulado </w:t>
      </w:r>
    </w:p>
    <w:p w:rsidR="000C7F00" w:rsidRPr="000719CB" w:rsidRDefault="000C7F00" w:rsidP="000C7F00">
      <w:pPr>
        <w:contextualSpacing/>
        <w:jc w:val="both"/>
        <w:rPr>
          <w:rFonts w:ascii="Arial" w:hAnsi="Arial" w:cs="Arial"/>
        </w:rPr>
      </w:pPr>
    </w:p>
    <w:p w:rsidR="00885DF1" w:rsidRPr="000C7F00" w:rsidRDefault="00885DF1" w:rsidP="000C7F00">
      <w:pPr>
        <w:rPr>
          <w:rFonts w:ascii="Arial" w:hAnsi="Arial" w:cs="Arial"/>
        </w:rPr>
      </w:pPr>
    </w:p>
    <w:p w:rsidR="00885DF1" w:rsidRDefault="00885DF1"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5E0359" w:rsidRDefault="005E035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Comunicación y Mercadeo (PUBLICAR)</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05" w:rsidRDefault="00064D05">
      <w:r>
        <w:separator/>
      </w:r>
    </w:p>
  </w:endnote>
  <w:endnote w:type="continuationSeparator" w:id="0">
    <w:p w:rsidR="00064D05" w:rsidRDefault="0006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05" w:rsidRDefault="00064D05">
      <w:r>
        <w:separator/>
      </w:r>
    </w:p>
  </w:footnote>
  <w:footnote w:type="continuationSeparator" w:id="0">
    <w:p w:rsidR="00064D05" w:rsidRDefault="0006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171957">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CE015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E015E">
      <w:rPr>
        <w:rFonts w:ascii="Arial" w:eastAsia="Cambria" w:hAnsi="Arial" w:cs="Arial"/>
        <w:i/>
        <w:sz w:val="18"/>
        <w:szCs w:val="18"/>
        <w:lang w:val="es-ES_tradnl" w:eastAsia="x-none"/>
      </w:rPr>
      <w:t>1</w:t>
    </w:r>
    <w:r w:rsidR="00171957">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3F3400">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20A0">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3E7F9F"/>
    <w:multiLevelType w:val="hybridMultilevel"/>
    <w:tmpl w:val="9EB64596"/>
    <w:lvl w:ilvl="0" w:tplc="140A0017">
      <w:start w:val="1"/>
      <w:numFmt w:val="lowerLetter"/>
      <w:lvlText w:val="%1)"/>
      <w:lvlJc w:val="left"/>
      <w:pPr>
        <w:ind w:left="1028" w:hanging="360"/>
      </w:pPr>
      <w:rPr>
        <w:rFonts w:hint="default"/>
      </w:rPr>
    </w:lvl>
    <w:lvl w:ilvl="1" w:tplc="140A0019">
      <w:start w:val="1"/>
      <w:numFmt w:val="lowerLetter"/>
      <w:lvlText w:val="%2."/>
      <w:lvlJc w:val="left"/>
      <w:pPr>
        <w:ind w:left="1748" w:hanging="360"/>
      </w:pPr>
    </w:lvl>
    <w:lvl w:ilvl="2" w:tplc="140A001B" w:tentative="1">
      <w:start w:val="1"/>
      <w:numFmt w:val="lowerRoman"/>
      <w:lvlText w:val="%3."/>
      <w:lvlJc w:val="right"/>
      <w:pPr>
        <w:ind w:left="2468" w:hanging="180"/>
      </w:pPr>
    </w:lvl>
    <w:lvl w:ilvl="3" w:tplc="140A000F" w:tentative="1">
      <w:start w:val="1"/>
      <w:numFmt w:val="decimal"/>
      <w:lvlText w:val="%4."/>
      <w:lvlJc w:val="left"/>
      <w:pPr>
        <w:ind w:left="3188" w:hanging="360"/>
      </w:pPr>
    </w:lvl>
    <w:lvl w:ilvl="4" w:tplc="140A0019" w:tentative="1">
      <w:start w:val="1"/>
      <w:numFmt w:val="lowerLetter"/>
      <w:lvlText w:val="%5."/>
      <w:lvlJc w:val="left"/>
      <w:pPr>
        <w:ind w:left="3908" w:hanging="360"/>
      </w:pPr>
    </w:lvl>
    <w:lvl w:ilvl="5" w:tplc="140A001B" w:tentative="1">
      <w:start w:val="1"/>
      <w:numFmt w:val="lowerRoman"/>
      <w:lvlText w:val="%6."/>
      <w:lvlJc w:val="right"/>
      <w:pPr>
        <w:ind w:left="4628" w:hanging="180"/>
      </w:pPr>
    </w:lvl>
    <w:lvl w:ilvl="6" w:tplc="140A000F" w:tentative="1">
      <w:start w:val="1"/>
      <w:numFmt w:val="decimal"/>
      <w:lvlText w:val="%7."/>
      <w:lvlJc w:val="left"/>
      <w:pPr>
        <w:ind w:left="5348" w:hanging="360"/>
      </w:pPr>
    </w:lvl>
    <w:lvl w:ilvl="7" w:tplc="140A0019" w:tentative="1">
      <w:start w:val="1"/>
      <w:numFmt w:val="lowerLetter"/>
      <w:lvlText w:val="%8."/>
      <w:lvlJc w:val="left"/>
      <w:pPr>
        <w:ind w:left="6068" w:hanging="360"/>
      </w:pPr>
    </w:lvl>
    <w:lvl w:ilvl="8" w:tplc="140A001B" w:tentative="1">
      <w:start w:val="1"/>
      <w:numFmt w:val="lowerRoman"/>
      <w:lvlText w:val="%9."/>
      <w:lvlJc w:val="right"/>
      <w:pPr>
        <w:ind w:left="6788" w:hanging="180"/>
      </w:pPr>
    </w:lvl>
  </w:abstractNum>
  <w:abstractNum w:abstractNumId="4"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A5E51"/>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6"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5108D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1AB0185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730F72"/>
    <w:multiLevelType w:val="hybridMultilevel"/>
    <w:tmpl w:val="65B424BE"/>
    <w:lvl w:ilvl="0" w:tplc="80E8CF22">
      <w:start w:val="1"/>
      <w:numFmt w:val="lowerLetter"/>
      <w:lvlText w:val="%1)"/>
      <w:lvlJc w:val="left"/>
      <w:pPr>
        <w:ind w:left="1638" w:hanging="360"/>
      </w:pPr>
    </w:lvl>
    <w:lvl w:ilvl="1" w:tplc="140A0019">
      <w:start w:val="1"/>
      <w:numFmt w:val="lowerLetter"/>
      <w:lvlText w:val="%2."/>
      <w:lvlJc w:val="left"/>
      <w:pPr>
        <w:ind w:left="2358" w:hanging="360"/>
      </w:pPr>
    </w:lvl>
    <w:lvl w:ilvl="2" w:tplc="140A001B">
      <w:start w:val="1"/>
      <w:numFmt w:val="lowerRoman"/>
      <w:lvlText w:val="%3."/>
      <w:lvlJc w:val="right"/>
      <w:pPr>
        <w:ind w:left="3078" w:hanging="180"/>
      </w:pPr>
    </w:lvl>
    <w:lvl w:ilvl="3" w:tplc="140A000F">
      <w:start w:val="1"/>
      <w:numFmt w:val="decimal"/>
      <w:lvlText w:val="%4."/>
      <w:lvlJc w:val="left"/>
      <w:pPr>
        <w:ind w:left="3798" w:hanging="360"/>
      </w:pPr>
    </w:lvl>
    <w:lvl w:ilvl="4" w:tplc="140A0019">
      <w:start w:val="1"/>
      <w:numFmt w:val="lowerLetter"/>
      <w:lvlText w:val="%5."/>
      <w:lvlJc w:val="left"/>
      <w:pPr>
        <w:ind w:left="4518" w:hanging="360"/>
      </w:pPr>
    </w:lvl>
    <w:lvl w:ilvl="5" w:tplc="140A001B">
      <w:start w:val="1"/>
      <w:numFmt w:val="lowerRoman"/>
      <w:lvlText w:val="%6."/>
      <w:lvlJc w:val="right"/>
      <w:pPr>
        <w:ind w:left="5238" w:hanging="180"/>
      </w:pPr>
    </w:lvl>
    <w:lvl w:ilvl="6" w:tplc="140A000F">
      <w:start w:val="1"/>
      <w:numFmt w:val="decimal"/>
      <w:lvlText w:val="%7."/>
      <w:lvlJc w:val="left"/>
      <w:pPr>
        <w:ind w:left="5958" w:hanging="360"/>
      </w:pPr>
    </w:lvl>
    <w:lvl w:ilvl="7" w:tplc="140A0019">
      <w:start w:val="1"/>
      <w:numFmt w:val="lowerLetter"/>
      <w:lvlText w:val="%8."/>
      <w:lvlJc w:val="left"/>
      <w:pPr>
        <w:ind w:left="6678" w:hanging="360"/>
      </w:pPr>
    </w:lvl>
    <w:lvl w:ilvl="8" w:tplc="140A001B">
      <w:start w:val="1"/>
      <w:numFmt w:val="lowerRoman"/>
      <w:lvlText w:val="%9."/>
      <w:lvlJc w:val="right"/>
      <w:pPr>
        <w:ind w:left="7398" w:hanging="180"/>
      </w:pPr>
    </w:lvl>
  </w:abstractNum>
  <w:abstractNum w:abstractNumId="12"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62F06"/>
    <w:multiLevelType w:val="hybridMultilevel"/>
    <w:tmpl w:val="114CD1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A10167"/>
    <w:multiLevelType w:val="hybridMultilevel"/>
    <w:tmpl w:val="58D41D18"/>
    <w:lvl w:ilvl="0" w:tplc="95BA7F58">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6" w15:restartNumberingAfterBreak="0">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17" w15:restartNumberingAfterBreak="0">
    <w:nsid w:val="374F234E"/>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EE6AF7"/>
    <w:multiLevelType w:val="hybridMultilevel"/>
    <w:tmpl w:val="C2BE7544"/>
    <w:lvl w:ilvl="0" w:tplc="EDA2E0A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A70792"/>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1"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2"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6645336B"/>
    <w:multiLevelType w:val="hybridMultilevel"/>
    <w:tmpl w:val="38C8C84A"/>
    <w:lvl w:ilvl="0" w:tplc="7922A2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7C5BC1"/>
    <w:multiLevelType w:val="hybridMultilevel"/>
    <w:tmpl w:val="4AC27A58"/>
    <w:lvl w:ilvl="0" w:tplc="FEBC10C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5" w15:restartNumberingAfterBreak="0">
    <w:nsid w:val="7D3B2624"/>
    <w:multiLevelType w:val="hybridMultilevel"/>
    <w:tmpl w:val="F6C0AC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3"/>
  </w:num>
  <w:num w:numId="3">
    <w:abstractNumId w:val="34"/>
  </w:num>
  <w:num w:numId="4">
    <w:abstractNumId w:val="0"/>
  </w:num>
  <w:num w:numId="5">
    <w:abstractNumId w:val="32"/>
  </w:num>
  <w:num w:numId="6">
    <w:abstractNumId w:val="2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29"/>
  </w:num>
  <w:num w:numId="11">
    <w:abstractNumId w:val="13"/>
  </w:num>
  <w:num w:numId="12">
    <w:abstractNumId w:val="22"/>
  </w:num>
  <w:num w:numId="13">
    <w:abstractNumId w:val="12"/>
  </w:num>
  <w:num w:numId="14">
    <w:abstractNumId w:val="4"/>
  </w:num>
  <w:num w:numId="15">
    <w:abstractNumId w:val="23"/>
  </w:num>
  <w:num w:numId="16">
    <w:abstractNumId w:val="6"/>
  </w:num>
  <w:num w:numId="17">
    <w:abstractNumId w:val="30"/>
  </w:num>
  <w:num w:numId="18">
    <w:abstractNumId w:val="15"/>
  </w:num>
  <w:num w:numId="19">
    <w:abstractNumId w:val="25"/>
  </w:num>
  <w:num w:numId="20">
    <w:abstractNumId w:val="8"/>
  </w:num>
  <w:num w:numId="21">
    <w:abstractNumId w:val="27"/>
  </w:num>
  <w:num w:numId="22">
    <w:abstractNumId w:val="1"/>
  </w:num>
  <w:num w:numId="23">
    <w:abstractNumId w:val="5"/>
  </w:num>
  <w:num w:numId="24">
    <w:abstractNumId w:val="16"/>
  </w:num>
  <w:num w:numId="25">
    <w:abstractNumId w:val="18"/>
  </w:num>
  <w:num w:numId="26">
    <w:abstractNumId w:val="10"/>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11"/>
  </w:num>
  <w:num w:numId="33">
    <w:abstractNumId w:val="14"/>
  </w:num>
  <w:num w:numId="34">
    <w:abstractNumId w:val="3"/>
  </w:num>
  <w:num w:numId="35">
    <w:abstractNumId w:val="35"/>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F154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B565-9310-4CF1-8430-22D56EA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2568</Words>
  <Characters>14128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95</cp:revision>
  <cp:lastPrinted>2018-12-19T19:02:00Z</cp:lastPrinted>
  <dcterms:created xsi:type="dcterms:W3CDTF">2018-05-02T21:37:00Z</dcterms:created>
  <dcterms:modified xsi:type="dcterms:W3CDTF">2018-12-19T19:03:00Z</dcterms:modified>
</cp:coreProperties>
</file>