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547B6">
        <w:rPr>
          <w:rFonts w:ascii="Arial" w:hAnsi="Arial" w:cs="Arial"/>
          <w:b/>
          <w:bCs/>
          <w:iCs/>
          <w:sz w:val="26"/>
          <w:szCs w:val="22"/>
          <w:lang w:val="es-CR"/>
        </w:rPr>
        <w:t>898</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Pr="001547B6" w:rsidRDefault="00F52439" w:rsidP="00456ABA">
            <w:pPr>
              <w:jc w:val="both"/>
              <w:rPr>
                <w:rFonts w:ascii="Arial" w:eastAsia="Cambria" w:hAnsi="Arial" w:cs="Arial"/>
                <w:sz w:val="22"/>
                <w:szCs w:val="22"/>
                <w:lang w:val="es-ES_tradnl" w:eastAsia="en-US"/>
              </w:rPr>
            </w:pPr>
            <w:r w:rsidRPr="001547B6">
              <w:rPr>
                <w:rFonts w:ascii="Arial" w:eastAsia="Cambria" w:hAnsi="Arial" w:cs="Arial"/>
                <w:sz w:val="22"/>
                <w:szCs w:val="22"/>
                <w:lang w:val="es-ES_tradnl" w:eastAsia="en-US"/>
              </w:rPr>
              <w:t>Dr. Julio Calvo Alvarado</w:t>
            </w:r>
            <w:r w:rsidR="0090700F" w:rsidRPr="001547B6">
              <w:rPr>
                <w:rFonts w:ascii="Arial" w:eastAsia="Cambria" w:hAnsi="Arial" w:cs="Arial"/>
                <w:sz w:val="22"/>
                <w:szCs w:val="22"/>
                <w:lang w:val="es-ES_tradnl" w:eastAsia="en-US"/>
              </w:rPr>
              <w:t>, Rector</w:t>
            </w:r>
            <w:r w:rsidR="00974D66" w:rsidRPr="001547B6">
              <w:rPr>
                <w:rFonts w:ascii="Arial" w:eastAsia="Cambria" w:hAnsi="Arial" w:cs="Arial"/>
                <w:sz w:val="22"/>
                <w:szCs w:val="22"/>
                <w:lang w:val="es-ES_tradnl" w:eastAsia="en-US"/>
              </w:rPr>
              <w:t xml:space="preserve"> </w:t>
            </w:r>
          </w:p>
          <w:p w:rsidR="001547B6" w:rsidRPr="001547B6" w:rsidRDefault="001547B6" w:rsidP="00456ABA">
            <w:pPr>
              <w:jc w:val="both"/>
              <w:rPr>
                <w:rFonts w:ascii="Arial" w:eastAsia="Cambria" w:hAnsi="Arial" w:cs="Arial"/>
                <w:sz w:val="22"/>
                <w:szCs w:val="22"/>
                <w:lang w:val="es-ES_tradnl" w:eastAsia="en-US"/>
              </w:rPr>
            </w:pPr>
            <w:r w:rsidRPr="001547B6">
              <w:rPr>
                <w:rFonts w:ascii="Arial" w:eastAsia="Cambria" w:hAnsi="Arial" w:cs="Arial"/>
                <w:sz w:val="22"/>
                <w:szCs w:val="22"/>
                <w:lang w:val="es-ES_tradnl" w:eastAsia="en-US"/>
              </w:rPr>
              <w:t>Licda. Carolina Hidalgo Herrera, Presidenta Asamblea Legislativa</w:t>
            </w:r>
          </w:p>
          <w:p w:rsidR="001547B6" w:rsidRPr="001547B6" w:rsidRDefault="001547B6" w:rsidP="00456ABA">
            <w:pPr>
              <w:jc w:val="both"/>
              <w:rPr>
                <w:rFonts w:ascii="Arial" w:eastAsia="Cambria" w:hAnsi="Arial" w:cs="Arial"/>
                <w:sz w:val="22"/>
                <w:szCs w:val="22"/>
                <w:lang w:val="es-ES_tradnl" w:eastAsia="en-US"/>
              </w:rPr>
            </w:pPr>
            <w:proofErr w:type="spellStart"/>
            <w:r w:rsidRPr="001547B6">
              <w:rPr>
                <w:rFonts w:ascii="Arial" w:eastAsia="Calibri" w:hAnsi="Arial" w:cs="Arial"/>
                <w:sz w:val="22"/>
                <w:szCs w:val="22"/>
                <w:lang w:val="es-CR" w:eastAsia="en-US"/>
              </w:rPr>
              <w:t>Dip</w:t>
            </w:r>
            <w:proofErr w:type="spellEnd"/>
            <w:r w:rsidRPr="001547B6">
              <w:rPr>
                <w:rFonts w:ascii="Arial" w:eastAsia="Calibri" w:hAnsi="Arial" w:cs="Arial"/>
                <w:sz w:val="22"/>
                <w:szCs w:val="22"/>
                <w:lang w:val="es-CR" w:eastAsia="en-US"/>
              </w:rPr>
              <w:t>.</w:t>
            </w:r>
            <w:r w:rsidRPr="001547B6">
              <w:rPr>
                <w:rFonts w:ascii="Arial" w:eastAsia="Calibri" w:hAnsi="Arial" w:cs="Arial"/>
                <w:sz w:val="22"/>
                <w:szCs w:val="22"/>
                <w:lang w:val="es-CR" w:eastAsia="en-US"/>
              </w:rPr>
              <w:t xml:space="preserve"> Wagner Jiménez Zúñiga, Asamblea Legislativa</w:t>
            </w:r>
          </w:p>
          <w:p w:rsidR="00F548D2" w:rsidRDefault="001547B6" w:rsidP="00C34F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1547B6" w:rsidRDefault="001547B6" w:rsidP="00C34FD2">
            <w:pPr>
              <w:jc w:val="both"/>
              <w:rPr>
                <w:rFonts w:ascii="Arial" w:eastAsia="Cambria" w:hAnsi="Arial" w:cs="Arial"/>
                <w:sz w:val="22"/>
                <w:szCs w:val="22"/>
                <w:lang w:val="es-ES_tradnl" w:eastAsia="en-US"/>
              </w:rPr>
            </w:pPr>
          </w:p>
          <w:p w:rsidR="001547B6" w:rsidRPr="00F548D2" w:rsidRDefault="001547B6" w:rsidP="00C34FD2">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34FD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405AE">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C34FD2">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C34FD2">
              <w:rPr>
                <w:rFonts w:ascii="Arial" w:eastAsia="Calibri" w:hAnsi="Arial" w:cs="Arial"/>
                <w:b/>
                <w:sz w:val="22"/>
                <w:szCs w:val="22"/>
              </w:rPr>
              <w:t>5</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C34FD2">
              <w:rPr>
                <w:rFonts w:ascii="Arial" w:eastAsia="Calibri" w:hAnsi="Arial" w:cs="Arial"/>
                <w:b/>
                <w:sz w:val="22"/>
                <w:szCs w:val="22"/>
              </w:rPr>
              <w:t>11</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C34FD2">
              <w:rPr>
                <w:rFonts w:ascii="Arial" w:eastAsia="Calibri" w:hAnsi="Arial" w:cs="Arial"/>
                <w:b/>
                <w:sz w:val="22"/>
                <w:szCs w:val="22"/>
              </w:rPr>
              <w:t>31</w:t>
            </w:r>
            <w:r w:rsidR="00D76019" w:rsidRPr="008F0835">
              <w:rPr>
                <w:rFonts w:ascii="Arial" w:eastAsia="Calibri" w:hAnsi="Arial" w:cs="Arial"/>
                <w:b/>
                <w:sz w:val="22"/>
                <w:szCs w:val="22"/>
              </w:rPr>
              <w:t xml:space="preserve"> de </w:t>
            </w:r>
            <w:r w:rsidR="005405AE">
              <w:rPr>
                <w:rFonts w:ascii="Arial" w:eastAsia="Calibri" w:hAnsi="Arial" w:cs="Arial"/>
                <w:b/>
                <w:sz w:val="22"/>
                <w:szCs w:val="22"/>
              </w:rPr>
              <w:t>octu</w:t>
            </w:r>
            <w:r w:rsidR="00D76019" w:rsidRPr="008F0835">
              <w:rPr>
                <w:rFonts w:ascii="Arial" w:eastAsia="Calibri" w:hAnsi="Arial" w:cs="Arial"/>
                <w:b/>
                <w:sz w:val="22"/>
                <w:szCs w:val="22"/>
              </w:rPr>
              <w:t xml:space="preserve">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C34FD2">
              <w:rPr>
                <w:rFonts w:ascii="Arial" w:eastAsia="Calibri" w:hAnsi="Arial" w:cs="Arial"/>
                <w:b/>
                <w:sz w:val="22"/>
                <w:szCs w:val="22"/>
              </w:rPr>
              <w:t xml:space="preserve"> Pronunciamiento sobre la Comisión Evaluadora del uso del FEES integrada por la Asamblea Legislativa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547B6" w:rsidRDefault="001547B6" w:rsidP="007742A1">
      <w:pPr>
        <w:jc w:val="both"/>
        <w:rPr>
          <w:rFonts w:ascii="Arial" w:eastAsia="Cambria" w:hAnsi="Arial" w:cs="Arial"/>
          <w:lang w:val="es-ES_tradnl" w:eastAsia="en-US"/>
        </w:rPr>
      </w:pPr>
    </w:p>
    <w:p w:rsidR="001547B6" w:rsidRPr="001547B6" w:rsidRDefault="001547B6" w:rsidP="001547B6">
      <w:pPr>
        <w:autoSpaceDE w:val="0"/>
        <w:autoSpaceDN w:val="0"/>
        <w:adjustRightInd w:val="0"/>
        <w:rPr>
          <w:rFonts w:ascii="Arial" w:eastAsia="Calibri" w:hAnsi="Arial" w:cs="Arial"/>
          <w:b/>
          <w:bCs/>
          <w:lang w:val="es-CR" w:eastAsia="en-US"/>
        </w:rPr>
      </w:pPr>
      <w:r w:rsidRPr="001547B6">
        <w:rPr>
          <w:rFonts w:ascii="Arial" w:eastAsia="Calibri" w:hAnsi="Arial" w:cs="Arial"/>
          <w:b/>
          <w:bCs/>
          <w:lang w:val="es-CR" w:eastAsia="en-US"/>
        </w:rPr>
        <w:t xml:space="preserve">RESULTANDO QUE: </w:t>
      </w:r>
    </w:p>
    <w:p w:rsidR="001547B6" w:rsidRPr="001547B6" w:rsidRDefault="001547B6" w:rsidP="001547B6">
      <w:pPr>
        <w:autoSpaceDE w:val="0"/>
        <w:autoSpaceDN w:val="0"/>
        <w:adjustRightInd w:val="0"/>
        <w:ind w:left="360"/>
        <w:jc w:val="both"/>
        <w:rPr>
          <w:rFonts w:ascii="Arial" w:eastAsia="Calibri" w:hAnsi="Arial" w:cs="Arial"/>
          <w:highlight w:val="yellow"/>
          <w:lang w:val="es-CR" w:eastAsia="en-US"/>
        </w:rPr>
      </w:pPr>
    </w:p>
    <w:p w:rsidR="001547B6" w:rsidRPr="001547B6" w:rsidRDefault="001547B6" w:rsidP="001547B6">
      <w:pPr>
        <w:numPr>
          <w:ilvl w:val="0"/>
          <w:numId w:val="28"/>
        </w:numPr>
        <w:autoSpaceDE w:val="0"/>
        <w:autoSpaceDN w:val="0"/>
        <w:adjustRightInd w:val="0"/>
        <w:ind w:left="426" w:hanging="426"/>
        <w:jc w:val="both"/>
        <w:rPr>
          <w:rFonts w:ascii="Arial" w:eastAsia="Calibri" w:hAnsi="Arial" w:cs="Arial"/>
          <w:lang w:val="es-CR" w:eastAsia="en-US"/>
        </w:rPr>
      </w:pPr>
      <w:r w:rsidRPr="001547B6">
        <w:rPr>
          <w:rFonts w:ascii="Arial" w:eastAsia="Calibri" w:hAnsi="Arial" w:cs="Arial"/>
          <w:lang w:val="es-CR" w:eastAsia="en-US"/>
        </w:rPr>
        <w:t>El jueves 25 de octubre de 2018, por iniciativa del diputado Wagner Jiménez Zúñiga, la Asamblea Legislativa aprobó la creación de una Comisión Especial que, por un lapso de 300 días, analizará el destino y uso de los recursos presupuestarios que el Gobierno otorga a las Universidades Públicas.</w:t>
      </w:r>
    </w:p>
    <w:p w:rsidR="001547B6" w:rsidRPr="001547B6" w:rsidRDefault="001547B6" w:rsidP="001547B6">
      <w:pPr>
        <w:autoSpaceDE w:val="0"/>
        <w:autoSpaceDN w:val="0"/>
        <w:adjustRightInd w:val="0"/>
        <w:jc w:val="both"/>
        <w:rPr>
          <w:rFonts w:ascii="Arial" w:eastAsia="Calibri" w:hAnsi="Arial" w:cs="Arial"/>
          <w:lang w:val="es-CR" w:eastAsia="en-US"/>
        </w:rPr>
      </w:pPr>
    </w:p>
    <w:p w:rsidR="001547B6" w:rsidRPr="001547B6" w:rsidRDefault="001547B6" w:rsidP="001547B6">
      <w:pPr>
        <w:numPr>
          <w:ilvl w:val="0"/>
          <w:numId w:val="28"/>
        </w:numPr>
        <w:autoSpaceDE w:val="0"/>
        <w:autoSpaceDN w:val="0"/>
        <w:adjustRightInd w:val="0"/>
        <w:ind w:left="426" w:hanging="426"/>
        <w:jc w:val="both"/>
        <w:rPr>
          <w:rFonts w:ascii="Arial" w:eastAsia="Calibri" w:hAnsi="Arial" w:cs="Arial"/>
          <w:lang w:val="es-CR" w:eastAsia="en-US"/>
        </w:rPr>
      </w:pPr>
      <w:r w:rsidRPr="001547B6">
        <w:rPr>
          <w:rFonts w:ascii="Arial" w:eastAsia="Calibri" w:hAnsi="Arial" w:cs="Arial"/>
          <w:lang w:val="es-CR" w:eastAsia="en-US"/>
        </w:rPr>
        <w:t>En el “Modelo Académico” del Instituto Tecnológico de Costa Rica, aprobado por el III CONGRESO INSTITUCIONAL, se indica lo siguiente:</w:t>
      </w:r>
    </w:p>
    <w:p w:rsidR="001547B6" w:rsidRPr="001547B6" w:rsidRDefault="001547B6" w:rsidP="001547B6">
      <w:pPr>
        <w:ind w:left="720"/>
        <w:contextualSpacing/>
        <w:rPr>
          <w:rFonts w:ascii="Calibri" w:eastAsia="Calibri" w:hAnsi="Calibri"/>
          <w:lang w:val="es-CR" w:eastAsia="en-US"/>
        </w:rPr>
      </w:pPr>
    </w:p>
    <w:p w:rsidR="001547B6" w:rsidRPr="001547B6" w:rsidRDefault="001547B6" w:rsidP="001547B6">
      <w:pPr>
        <w:numPr>
          <w:ilvl w:val="0"/>
          <w:numId w:val="31"/>
        </w:numPr>
        <w:tabs>
          <w:tab w:val="left" w:pos="426"/>
        </w:tabs>
        <w:ind w:right="476"/>
        <w:contextualSpacing/>
        <w:jc w:val="both"/>
        <w:rPr>
          <w:rFonts w:ascii="Arial" w:eastAsia="Calibri" w:hAnsi="Arial" w:cs="Arial"/>
          <w:i/>
          <w:lang w:val="es-CR" w:eastAsia="en-US"/>
        </w:rPr>
      </w:pPr>
      <w:r w:rsidRPr="001547B6">
        <w:rPr>
          <w:rFonts w:ascii="Arial" w:eastAsia="Calibri" w:hAnsi="Arial" w:cs="Arial"/>
          <w:i/>
          <w:lang w:val="es-CR" w:eastAsia="en-US"/>
        </w:rPr>
        <w:t>“Somos una institución pública que funciona con recursos de todas y todos los costarricenses, y nos debemos a esa sociedad a la que tenemos que rendir cuentas de la calidad de nuestro trabajo y del cumplimiento de nuestra augusta misión. La sociedad invierte en las instituciones de educación superior estatales porque estas representan la esperanza del desarrollo, la esperanza de muchos y muchas de acceder al conocimiento, de salir de la pobreza y de aspirar a una mejor calidad de vida.</w:t>
      </w:r>
    </w:p>
    <w:p w:rsidR="001547B6" w:rsidRPr="001547B6" w:rsidRDefault="001547B6" w:rsidP="001547B6">
      <w:pPr>
        <w:autoSpaceDE w:val="0"/>
        <w:autoSpaceDN w:val="0"/>
        <w:adjustRightInd w:val="0"/>
        <w:jc w:val="both"/>
        <w:rPr>
          <w:rFonts w:ascii="Arial" w:eastAsia="Calibri" w:hAnsi="Arial" w:cs="Arial"/>
          <w:i/>
          <w:lang w:val="es-CR" w:eastAsia="en-US"/>
        </w:rPr>
      </w:pPr>
    </w:p>
    <w:p w:rsidR="001547B6" w:rsidRPr="001547B6" w:rsidRDefault="001547B6" w:rsidP="001547B6">
      <w:pPr>
        <w:numPr>
          <w:ilvl w:val="0"/>
          <w:numId w:val="31"/>
        </w:numPr>
        <w:tabs>
          <w:tab w:val="left" w:pos="426"/>
        </w:tabs>
        <w:ind w:right="476"/>
        <w:contextualSpacing/>
        <w:jc w:val="both"/>
        <w:rPr>
          <w:rFonts w:ascii="Arial" w:eastAsia="Calibri" w:hAnsi="Arial" w:cs="Arial"/>
          <w:i/>
          <w:lang w:val="es-CR" w:eastAsia="en-US"/>
        </w:rPr>
      </w:pPr>
      <w:r w:rsidRPr="001547B6">
        <w:rPr>
          <w:rFonts w:ascii="Arial" w:eastAsia="Calibri" w:hAnsi="Arial" w:cs="Arial"/>
          <w:i/>
          <w:lang w:val="es-CR" w:eastAsia="en-US"/>
        </w:rPr>
        <w:t xml:space="preserve">El Instituto Tecnológico de Costa Rica consolida una gestión institucional orientada por el principio de autonomía responsable y rendición de cuentas, con la mayor participación posible de todos los actores de la comunidad, e inscrita solidariamente en torno a una acción institucional planificada. </w:t>
      </w:r>
    </w:p>
    <w:p w:rsidR="001547B6" w:rsidRPr="001547B6" w:rsidRDefault="001547B6" w:rsidP="001547B6">
      <w:pPr>
        <w:autoSpaceDE w:val="0"/>
        <w:autoSpaceDN w:val="0"/>
        <w:adjustRightInd w:val="0"/>
        <w:rPr>
          <w:rFonts w:ascii="Arial" w:eastAsia="Calibri" w:hAnsi="Arial" w:cs="Arial"/>
          <w:i/>
          <w:color w:val="000000"/>
          <w:lang w:val="es-CR" w:eastAsia="en-US"/>
        </w:rPr>
      </w:pPr>
    </w:p>
    <w:p w:rsidR="001547B6" w:rsidRPr="001547B6" w:rsidRDefault="001547B6" w:rsidP="001547B6">
      <w:pPr>
        <w:numPr>
          <w:ilvl w:val="0"/>
          <w:numId w:val="31"/>
        </w:numPr>
        <w:tabs>
          <w:tab w:val="left" w:pos="426"/>
        </w:tabs>
        <w:ind w:right="476"/>
        <w:contextualSpacing/>
        <w:jc w:val="both"/>
        <w:rPr>
          <w:rFonts w:ascii="Arial" w:eastAsia="Calibri" w:hAnsi="Arial" w:cs="Arial"/>
          <w:lang w:val="es-CR" w:eastAsia="en-US"/>
        </w:rPr>
      </w:pPr>
      <w:r w:rsidRPr="001547B6">
        <w:rPr>
          <w:rFonts w:ascii="Arial" w:eastAsia="Calibri" w:hAnsi="Arial" w:cs="Arial"/>
          <w:i/>
          <w:lang w:val="es-CR" w:eastAsia="en-US"/>
        </w:rPr>
        <w:t xml:space="preserve">El Instituto Tecnológico de Costa Rica promueve una cultura de evaluación, difusión de resultados y transparencia de la información, para reflexionar, tomar decisiones, orientar las políticas institucionales </w:t>
      </w:r>
      <w:r w:rsidRPr="001547B6">
        <w:rPr>
          <w:rFonts w:ascii="Arial" w:eastAsia="Calibri" w:hAnsi="Arial" w:cs="Arial"/>
          <w:i/>
          <w:lang w:val="es-CR" w:eastAsia="en-US"/>
        </w:rPr>
        <w:lastRenderedPageBreak/>
        <w:t>y garantizar el cumplimiento de objetivos de cada programa, con la mayor participación de la comunidad institucion</w:t>
      </w:r>
      <w:r w:rsidRPr="001547B6">
        <w:rPr>
          <w:rFonts w:ascii="Arial" w:eastAsia="Calibri" w:hAnsi="Arial" w:cs="Arial"/>
          <w:lang w:val="es-CR" w:eastAsia="en-US"/>
        </w:rPr>
        <w:t>al.”</w:t>
      </w:r>
    </w:p>
    <w:p w:rsidR="001547B6" w:rsidRPr="001547B6" w:rsidRDefault="001547B6" w:rsidP="001547B6">
      <w:pPr>
        <w:autoSpaceDE w:val="0"/>
        <w:autoSpaceDN w:val="0"/>
        <w:adjustRightInd w:val="0"/>
        <w:jc w:val="both"/>
        <w:rPr>
          <w:rFonts w:ascii="Arial" w:eastAsia="Calibri" w:hAnsi="Arial" w:cs="Arial"/>
          <w:lang w:val="es-CR" w:eastAsia="en-US"/>
        </w:rPr>
      </w:pPr>
    </w:p>
    <w:p w:rsidR="001547B6" w:rsidRPr="001547B6" w:rsidRDefault="001547B6" w:rsidP="001547B6">
      <w:pPr>
        <w:numPr>
          <w:ilvl w:val="0"/>
          <w:numId w:val="28"/>
        </w:numPr>
        <w:autoSpaceDE w:val="0"/>
        <w:autoSpaceDN w:val="0"/>
        <w:adjustRightInd w:val="0"/>
        <w:ind w:left="426" w:hanging="426"/>
        <w:jc w:val="both"/>
        <w:rPr>
          <w:rFonts w:ascii="Arial" w:eastAsia="Calibri" w:hAnsi="Arial" w:cs="Arial"/>
          <w:lang w:val="es-CR" w:eastAsia="en-US"/>
        </w:rPr>
      </w:pPr>
      <w:r w:rsidRPr="001547B6">
        <w:rPr>
          <w:rFonts w:ascii="Arial" w:eastAsia="Calibri" w:hAnsi="Arial" w:cs="Arial"/>
          <w:lang w:val="es-CR" w:eastAsia="en-US"/>
        </w:rPr>
        <w:t>La Política General 15, aprobada por la Asamblea Institucional Representativa en la Sesión Ordinaria AIR-88-2015, establece lo siguiente:</w:t>
      </w:r>
    </w:p>
    <w:p w:rsidR="001547B6" w:rsidRPr="001547B6" w:rsidRDefault="001547B6" w:rsidP="001547B6">
      <w:pPr>
        <w:autoSpaceDE w:val="0"/>
        <w:autoSpaceDN w:val="0"/>
        <w:adjustRightInd w:val="0"/>
        <w:jc w:val="both"/>
        <w:rPr>
          <w:rFonts w:ascii="Arial" w:eastAsia="Calibri" w:hAnsi="Arial" w:cs="Arial"/>
          <w:lang w:val="es-CR" w:eastAsia="en-US"/>
        </w:rPr>
      </w:pPr>
    </w:p>
    <w:p w:rsidR="001547B6" w:rsidRDefault="001547B6" w:rsidP="001547B6">
      <w:pPr>
        <w:tabs>
          <w:tab w:val="left" w:pos="8364"/>
        </w:tabs>
        <w:autoSpaceDE w:val="0"/>
        <w:autoSpaceDN w:val="0"/>
        <w:adjustRightInd w:val="0"/>
        <w:ind w:left="709" w:right="474"/>
        <w:jc w:val="both"/>
        <w:rPr>
          <w:rFonts w:ascii="Arial" w:eastAsia="Calibri" w:hAnsi="Arial" w:cs="Arial"/>
          <w:i/>
          <w:color w:val="000000"/>
          <w:lang w:val="es-CR" w:eastAsia="en-US"/>
        </w:rPr>
      </w:pPr>
      <w:r w:rsidRPr="001547B6">
        <w:rPr>
          <w:rFonts w:ascii="Arial" w:eastAsia="Calibri" w:hAnsi="Arial" w:cs="Arial"/>
          <w:i/>
          <w:color w:val="000000"/>
          <w:lang w:val="es-CR" w:eastAsia="en-US"/>
        </w:rPr>
        <w:t xml:space="preserve">“Los procesos institucionales se desarrollarán con excelencia, sustentados en la evaluación continua que involucre a los usuarios directos”. </w:t>
      </w:r>
    </w:p>
    <w:p w:rsidR="001547B6" w:rsidRPr="001547B6" w:rsidRDefault="001547B6" w:rsidP="001547B6">
      <w:pPr>
        <w:tabs>
          <w:tab w:val="left" w:pos="8364"/>
        </w:tabs>
        <w:autoSpaceDE w:val="0"/>
        <w:autoSpaceDN w:val="0"/>
        <w:adjustRightInd w:val="0"/>
        <w:ind w:left="709" w:right="474"/>
        <w:jc w:val="both"/>
        <w:rPr>
          <w:rFonts w:ascii="Arial" w:eastAsia="Calibri" w:hAnsi="Arial" w:cs="Arial"/>
          <w:i/>
          <w:color w:val="000000"/>
          <w:lang w:val="es-CR" w:eastAsia="en-US"/>
        </w:rPr>
      </w:pPr>
    </w:p>
    <w:p w:rsidR="001547B6" w:rsidRPr="001547B6" w:rsidRDefault="001547B6" w:rsidP="001547B6">
      <w:pPr>
        <w:autoSpaceDE w:val="0"/>
        <w:autoSpaceDN w:val="0"/>
        <w:adjustRightInd w:val="0"/>
        <w:jc w:val="both"/>
        <w:rPr>
          <w:rFonts w:ascii="Arial" w:eastAsia="Calibri" w:hAnsi="Arial" w:cs="Arial"/>
          <w:b/>
          <w:bCs/>
          <w:lang w:val="es-CR" w:eastAsia="en-US"/>
        </w:rPr>
      </w:pPr>
      <w:r w:rsidRPr="001547B6">
        <w:rPr>
          <w:rFonts w:ascii="Arial" w:eastAsia="Calibri" w:hAnsi="Arial" w:cs="Arial"/>
          <w:b/>
          <w:bCs/>
          <w:lang w:val="es-CR" w:eastAsia="en-US"/>
        </w:rPr>
        <w:t>CONSIDERANDO QUE:</w:t>
      </w:r>
    </w:p>
    <w:p w:rsidR="001547B6" w:rsidRPr="001547B6" w:rsidRDefault="001547B6" w:rsidP="001547B6">
      <w:pPr>
        <w:autoSpaceDE w:val="0"/>
        <w:autoSpaceDN w:val="0"/>
        <w:adjustRightInd w:val="0"/>
        <w:jc w:val="both"/>
        <w:rPr>
          <w:rFonts w:ascii="Arial" w:eastAsia="Calibri" w:hAnsi="Arial" w:cs="Arial"/>
          <w:b/>
          <w:bCs/>
          <w:lang w:val="es-CR" w:eastAsia="en-US"/>
        </w:rPr>
      </w:pPr>
    </w:p>
    <w:p w:rsidR="001547B6" w:rsidRPr="001547B6" w:rsidRDefault="001547B6" w:rsidP="001547B6">
      <w:pPr>
        <w:numPr>
          <w:ilvl w:val="0"/>
          <w:numId w:val="29"/>
        </w:numPr>
        <w:ind w:left="364"/>
        <w:contextualSpacing/>
        <w:jc w:val="both"/>
        <w:rPr>
          <w:rFonts w:ascii="Arial" w:hAnsi="Arial" w:cs="Arial"/>
          <w:lang w:val="es-CR" w:eastAsia="en-US"/>
        </w:rPr>
      </w:pPr>
      <w:r w:rsidRPr="001547B6">
        <w:rPr>
          <w:rFonts w:ascii="Arial" w:hAnsi="Arial" w:cs="Arial"/>
          <w:lang w:val="es-CR" w:eastAsia="en-US"/>
        </w:rPr>
        <w:t>La autonomía universitaria que le garantiza el artículo 84 de la Constitución Política de Costa Rica a las universidades estatales conlleva la responsabilidad de rendir cuentas a la sociedad costarricense, en general y a los órganos constitucionales, en particular.</w:t>
      </w:r>
    </w:p>
    <w:p w:rsidR="001547B6" w:rsidRPr="001547B6" w:rsidRDefault="001547B6" w:rsidP="001547B6">
      <w:pPr>
        <w:ind w:left="360"/>
        <w:jc w:val="both"/>
        <w:rPr>
          <w:rFonts w:ascii="Arial" w:hAnsi="Arial" w:cs="Arial"/>
          <w:lang w:val="es-CR" w:eastAsia="en-US"/>
        </w:rPr>
      </w:pPr>
    </w:p>
    <w:p w:rsidR="001547B6" w:rsidRPr="001547B6" w:rsidRDefault="001547B6" w:rsidP="001547B6">
      <w:pPr>
        <w:numPr>
          <w:ilvl w:val="0"/>
          <w:numId w:val="29"/>
        </w:numPr>
        <w:ind w:left="364"/>
        <w:contextualSpacing/>
        <w:jc w:val="both"/>
        <w:rPr>
          <w:rFonts w:ascii="Arial" w:hAnsi="Arial" w:cs="Arial"/>
          <w:lang w:val="es-CR" w:eastAsia="en-US"/>
        </w:rPr>
      </w:pPr>
      <w:r w:rsidRPr="001547B6">
        <w:rPr>
          <w:rFonts w:ascii="Arial" w:hAnsi="Arial" w:cs="Arial"/>
          <w:lang w:val="es-CR" w:eastAsia="en-US"/>
        </w:rPr>
        <w:t>La rendición de cuentas por el uso de los recursos económicos que el Estado asigna al Instituto Tecnológico de Costa Rica para el desempeño de las funciones que le son propias, está claramente establecida como una práctica ordinaria en las disposiciones internas.</w:t>
      </w:r>
    </w:p>
    <w:p w:rsidR="001547B6" w:rsidRPr="001547B6" w:rsidRDefault="001547B6" w:rsidP="001547B6">
      <w:pPr>
        <w:ind w:left="720"/>
        <w:contextualSpacing/>
        <w:rPr>
          <w:rFonts w:ascii="Arial" w:hAnsi="Arial" w:cs="Arial"/>
          <w:lang w:val="es-CR" w:eastAsia="en-US"/>
        </w:rPr>
      </w:pPr>
    </w:p>
    <w:p w:rsidR="001547B6" w:rsidRPr="001547B6" w:rsidRDefault="001547B6" w:rsidP="001547B6">
      <w:pPr>
        <w:autoSpaceDE w:val="0"/>
        <w:autoSpaceDN w:val="0"/>
        <w:adjustRightInd w:val="0"/>
        <w:jc w:val="both"/>
        <w:rPr>
          <w:rFonts w:ascii="Arial" w:eastAsia="Calibri" w:hAnsi="Arial" w:cs="Arial"/>
          <w:b/>
          <w:bCs/>
          <w:lang w:val="es-CR" w:eastAsia="en-US"/>
        </w:rPr>
      </w:pPr>
      <w:r w:rsidRPr="001547B6">
        <w:rPr>
          <w:rFonts w:ascii="Arial" w:eastAsia="Calibri" w:hAnsi="Arial" w:cs="Arial"/>
          <w:b/>
          <w:bCs/>
          <w:lang w:val="es-CR" w:eastAsia="en-US"/>
        </w:rPr>
        <w:t>SE</w:t>
      </w:r>
      <w:r w:rsidRPr="001547B6">
        <w:rPr>
          <w:rFonts w:ascii="Arial" w:eastAsia="Calibri" w:hAnsi="Arial" w:cs="Arial"/>
          <w:b/>
          <w:bCs/>
          <w:lang w:val="es-CR" w:eastAsia="en-US"/>
        </w:rPr>
        <w:t xml:space="preserve"> ACUERDA</w:t>
      </w:r>
      <w:r w:rsidRPr="001547B6">
        <w:rPr>
          <w:rFonts w:ascii="Arial" w:eastAsia="Calibri" w:hAnsi="Arial" w:cs="Arial"/>
          <w:b/>
          <w:bCs/>
          <w:lang w:val="es-CR" w:eastAsia="en-US"/>
        </w:rPr>
        <w:t>:</w:t>
      </w:r>
    </w:p>
    <w:p w:rsidR="001547B6" w:rsidRPr="001547B6" w:rsidRDefault="001547B6" w:rsidP="001547B6">
      <w:pPr>
        <w:autoSpaceDE w:val="0"/>
        <w:autoSpaceDN w:val="0"/>
        <w:adjustRightInd w:val="0"/>
        <w:jc w:val="both"/>
        <w:rPr>
          <w:rFonts w:ascii="Arial" w:eastAsia="Calibri" w:hAnsi="Arial" w:cs="Arial"/>
          <w:b/>
          <w:bCs/>
          <w:color w:val="000000"/>
          <w:lang w:val="es-CR" w:eastAsia="en-US"/>
        </w:rPr>
      </w:pPr>
    </w:p>
    <w:p w:rsidR="001547B6" w:rsidRPr="001547B6" w:rsidRDefault="001547B6" w:rsidP="001547B6">
      <w:pPr>
        <w:numPr>
          <w:ilvl w:val="0"/>
          <w:numId w:val="30"/>
        </w:numPr>
        <w:autoSpaceDE w:val="0"/>
        <w:autoSpaceDN w:val="0"/>
        <w:adjustRightInd w:val="0"/>
        <w:ind w:left="378"/>
        <w:jc w:val="both"/>
        <w:rPr>
          <w:rFonts w:ascii="Arial" w:eastAsia="Calibri" w:hAnsi="Arial" w:cs="Arial"/>
          <w:color w:val="000000"/>
          <w:lang w:val="es-CR" w:eastAsia="en-US"/>
        </w:rPr>
      </w:pPr>
      <w:r w:rsidRPr="001547B6">
        <w:rPr>
          <w:rFonts w:ascii="Arial" w:eastAsia="Calibri" w:hAnsi="Arial" w:cs="Arial"/>
          <w:color w:val="000000"/>
          <w:lang w:val="es-CR" w:eastAsia="en-US"/>
        </w:rPr>
        <w:t xml:space="preserve">Manifestar a la Asamblea Legislativa, en particular y a la comunidad nacional, en general, que el Instituto Tecnológico de Costa Rica, facilitará toda la información que sea requerida por la comisión creada por la Asamblea Legislativa, para analizar el destino y uso </w:t>
      </w:r>
      <w:r w:rsidRPr="001547B6">
        <w:rPr>
          <w:rFonts w:ascii="Arial" w:eastAsia="Calibri" w:hAnsi="Arial" w:cs="Arial"/>
          <w:lang w:val="es-CR" w:eastAsia="en-US"/>
        </w:rPr>
        <w:t>de los recursos presupuestarios que el gobierno otorga las universidades públicas.</w:t>
      </w:r>
    </w:p>
    <w:p w:rsidR="001547B6" w:rsidRPr="001547B6" w:rsidRDefault="001547B6" w:rsidP="001547B6">
      <w:pPr>
        <w:autoSpaceDE w:val="0"/>
        <w:autoSpaceDN w:val="0"/>
        <w:adjustRightInd w:val="0"/>
        <w:ind w:left="378"/>
        <w:jc w:val="both"/>
        <w:rPr>
          <w:rFonts w:ascii="Arial" w:eastAsia="Calibri" w:hAnsi="Arial" w:cs="Arial"/>
          <w:color w:val="000000"/>
          <w:lang w:val="es-CR" w:eastAsia="en-US"/>
        </w:rPr>
      </w:pPr>
    </w:p>
    <w:p w:rsidR="001547B6" w:rsidRPr="001547B6" w:rsidRDefault="001547B6" w:rsidP="001547B6">
      <w:pPr>
        <w:numPr>
          <w:ilvl w:val="0"/>
          <w:numId w:val="30"/>
        </w:numPr>
        <w:autoSpaceDE w:val="0"/>
        <w:autoSpaceDN w:val="0"/>
        <w:adjustRightInd w:val="0"/>
        <w:ind w:left="378"/>
        <w:jc w:val="both"/>
        <w:rPr>
          <w:rFonts w:ascii="Arial" w:eastAsia="Calibri" w:hAnsi="Arial" w:cs="Arial"/>
          <w:color w:val="000000"/>
          <w:lang w:val="es-CR" w:eastAsia="en-US"/>
        </w:rPr>
      </w:pPr>
      <w:r w:rsidRPr="001547B6">
        <w:rPr>
          <w:rFonts w:ascii="Arial" w:eastAsia="Calibri" w:hAnsi="Arial" w:cs="Arial"/>
          <w:color w:val="000000"/>
          <w:lang w:val="es-CR" w:eastAsia="en-US"/>
        </w:rPr>
        <w:t xml:space="preserve">Indicar a la comunidad institucional, que la conformación de esta comisión por parte de la Asamblea Legislativa, está dentro de las facultades de este Poder de la República, de acuerdo con </w:t>
      </w:r>
      <w:r w:rsidRPr="001547B6">
        <w:rPr>
          <w:rFonts w:ascii="Arial" w:eastAsia="Calibri" w:hAnsi="Arial" w:cs="Arial"/>
          <w:color w:val="000000"/>
          <w:shd w:val="clear" w:color="auto" w:fill="FFFFFF"/>
          <w:lang w:val="es-CR" w:eastAsia="en-US"/>
        </w:rPr>
        <w:t>el artículo 121, inciso 23, de la Constitución Política y el artículo 190 del Reglamento de la Asamblea Legislativa, y es totalmente compatible con la disposición institucional de rendición de cuentas.</w:t>
      </w:r>
      <w:r>
        <w:rPr>
          <w:rFonts w:ascii="Arial" w:eastAsia="Calibri" w:hAnsi="Arial" w:cs="Arial"/>
          <w:color w:val="000000"/>
          <w:shd w:val="clear" w:color="auto" w:fill="FFFFFF"/>
          <w:lang w:val="es-CR" w:eastAsia="en-US"/>
        </w:rPr>
        <w:t xml:space="preserve"> </w:t>
      </w:r>
      <w:r w:rsidRPr="001547B6">
        <w:rPr>
          <w:rFonts w:ascii="Arial" w:eastAsia="Calibri" w:hAnsi="Arial" w:cs="Arial"/>
          <w:color w:val="000000"/>
          <w:shd w:val="clear" w:color="auto" w:fill="FFFFFF"/>
          <w:lang w:val="es-CR" w:eastAsia="en-US"/>
        </w:rPr>
        <w:t xml:space="preserve"> Por esta razón todas las personas de la comunidad institucional</w:t>
      </w:r>
      <w:r>
        <w:rPr>
          <w:rFonts w:ascii="Arial" w:eastAsia="Calibri" w:hAnsi="Arial" w:cs="Arial"/>
          <w:color w:val="000000"/>
          <w:shd w:val="clear" w:color="auto" w:fill="FFFFFF"/>
          <w:lang w:val="es-CR" w:eastAsia="en-US"/>
        </w:rPr>
        <w:t>,</w:t>
      </w:r>
      <w:r w:rsidRPr="001547B6">
        <w:rPr>
          <w:rFonts w:ascii="Arial" w:eastAsia="Calibri" w:hAnsi="Arial" w:cs="Arial"/>
          <w:color w:val="000000"/>
          <w:shd w:val="clear" w:color="auto" w:fill="FFFFFF"/>
          <w:lang w:val="es-CR" w:eastAsia="en-US"/>
        </w:rPr>
        <w:t xml:space="preserve"> que sean convocadas por la Comisión, deberán comparecer y aportar la información que les sea solicitada en el marco de dicho análisis.</w:t>
      </w:r>
    </w:p>
    <w:p w:rsidR="00110466" w:rsidRPr="00F548D2" w:rsidRDefault="00110466" w:rsidP="001547B6">
      <w:pPr>
        <w:jc w:val="both"/>
        <w:rPr>
          <w:rFonts w:ascii="Arial" w:eastAsia="Cambria" w:hAnsi="Arial" w:cs="Arial"/>
          <w:lang w:val="es-CR" w:eastAsia="en-US"/>
        </w:rPr>
      </w:pPr>
    </w:p>
    <w:p w:rsidR="00215C41" w:rsidRPr="001547B6" w:rsidRDefault="00BB6A5E" w:rsidP="001547B6">
      <w:pPr>
        <w:numPr>
          <w:ilvl w:val="0"/>
          <w:numId w:val="30"/>
        </w:numPr>
        <w:autoSpaceDE w:val="0"/>
        <w:autoSpaceDN w:val="0"/>
        <w:adjustRightInd w:val="0"/>
        <w:ind w:left="378"/>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547B6" w:rsidRDefault="001547B6" w:rsidP="001547B6">
      <w:pPr>
        <w:contextualSpacing/>
        <w:jc w:val="both"/>
        <w:rPr>
          <w:rFonts w:ascii="Arial" w:hAnsi="Arial" w:cs="Arial"/>
          <w:b/>
          <w:lang w:val="es-CR"/>
        </w:rPr>
      </w:pPr>
    </w:p>
    <w:p w:rsidR="001547B6" w:rsidRDefault="001547B6" w:rsidP="001547B6">
      <w:pPr>
        <w:contextualSpacing/>
        <w:jc w:val="both"/>
        <w:rPr>
          <w:rFonts w:ascii="Arial" w:hAnsi="Arial" w:cs="Arial"/>
          <w:b/>
          <w:lang w:val="es-CR"/>
        </w:rPr>
      </w:pPr>
    </w:p>
    <w:p w:rsidR="001547B6" w:rsidRPr="001547B6" w:rsidRDefault="001547B6" w:rsidP="001547B6">
      <w:pPr>
        <w:jc w:val="both"/>
        <w:rPr>
          <w:rFonts w:ascii="Arial" w:hAnsi="Arial" w:cs="Arial"/>
          <w:b/>
          <w:i/>
          <w:sz w:val="22"/>
          <w:szCs w:val="22"/>
        </w:rPr>
      </w:pPr>
      <w:r w:rsidRPr="001547B6">
        <w:rPr>
          <w:rFonts w:ascii="Arial" w:hAnsi="Arial" w:cs="Arial"/>
          <w:b/>
          <w:i/>
          <w:sz w:val="22"/>
          <w:szCs w:val="22"/>
        </w:rPr>
        <w:t>Palabras Clave:</w:t>
      </w:r>
      <w:r w:rsidRPr="001547B6">
        <w:rPr>
          <w:rFonts w:ascii="Arial" w:hAnsi="Arial" w:cs="Arial"/>
          <w:b/>
          <w:i/>
          <w:sz w:val="22"/>
          <w:szCs w:val="22"/>
        </w:rPr>
        <w:tab/>
        <w:t xml:space="preserve">Pronunciamiento - facilitar – información - Asamblea Legislativa </w:t>
      </w:r>
    </w:p>
    <w:p w:rsidR="001547B6" w:rsidRPr="00F548D2" w:rsidRDefault="001547B6" w:rsidP="001547B6">
      <w:pPr>
        <w:contextualSpacing/>
        <w:jc w:val="both"/>
        <w:rPr>
          <w:rFonts w:ascii="Arial" w:hAnsi="Arial" w:cs="Arial"/>
        </w:rPr>
      </w:pPr>
    </w:p>
    <w:p w:rsidR="00D31E17" w:rsidRPr="00D31E17" w:rsidRDefault="00D31E17" w:rsidP="001547B6">
      <w:pPr>
        <w:widowControl w:val="0"/>
        <w:suppressAutoHyphens/>
        <w:autoSpaceDE w:val="0"/>
        <w:autoSpaceDN w:val="0"/>
        <w:adjustRightInd w:val="0"/>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21" w:rsidRDefault="003B4721">
      <w:r>
        <w:separator/>
      </w:r>
    </w:p>
  </w:endnote>
  <w:endnote w:type="continuationSeparator" w:id="0">
    <w:p w:rsidR="003B4721" w:rsidRDefault="003B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21" w:rsidRDefault="003B4721">
      <w:r>
        <w:separator/>
      </w:r>
    </w:p>
  </w:footnote>
  <w:footnote w:type="continuationSeparator" w:id="0">
    <w:p w:rsidR="003B4721" w:rsidRDefault="003B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C34FD2">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C34FD2">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del </w:t>
    </w:r>
    <w:r w:rsidR="00C34FD2">
      <w:rPr>
        <w:rFonts w:ascii="Arial" w:eastAsia="Cambria" w:hAnsi="Arial" w:cs="Arial"/>
        <w:i/>
        <w:sz w:val="18"/>
        <w:szCs w:val="18"/>
        <w:lang w:val="es-ES_tradnl" w:eastAsia="x-none"/>
      </w:rPr>
      <w:t>31</w:t>
    </w:r>
    <w:r w:rsidR="00D76019">
      <w:rPr>
        <w:rFonts w:ascii="Arial" w:eastAsia="Cambria" w:hAnsi="Arial" w:cs="Arial"/>
        <w:i/>
        <w:sz w:val="18"/>
        <w:szCs w:val="18"/>
        <w:lang w:val="es-ES_tradnl" w:eastAsia="x-none"/>
      </w:rPr>
      <w:t xml:space="preserve"> de </w:t>
    </w:r>
    <w:r w:rsidR="005405AE">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547B6">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F850F6"/>
    <w:multiLevelType w:val="hybridMultilevel"/>
    <w:tmpl w:val="EEB41B14"/>
    <w:lvl w:ilvl="0" w:tplc="2B3CE8A0">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AF21CEC"/>
    <w:multiLevelType w:val="hybridMultilevel"/>
    <w:tmpl w:val="1C1CC732"/>
    <w:lvl w:ilvl="0" w:tplc="505E82AE">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6"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F424547"/>
    <w:multiLevelType w:val="hybridMultilevel"/>
    <w:tmpl w:val="7E26FED8"/>
    <w:lvl w:ilvl="0" w:tplc="6338B610">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10"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1"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9" w15:restartNumberingAfterBreak="0">
    <w:nsid w:val="5A106128"/>
    <w:multiLevelType w:val="hybridMultilevel"/>
    <w:tmpl w:val="00C4C24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0"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27"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0"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8"/>
  </w:num>
  <w:num w:numId="3">
    <w:abstractNumId w:val="23"/>
  </w:num>
  <w:num w:numId="4">
    <w:abstractNumId w:val="29"/>
  </w:num>
  <w:num w:numId="5">
    <w:abstractNumId w:val="11"/>
  </w:num>
  <w:num w:numId="6">
    <w:abstractNumId w:val="10"/>
  </w:num>
  <w:num w:numId="7">
    <w:abstractNumId w:val="25"/>
  </w:num>
  <w:num w:numId="8">
    <w:abstractNumId w:val="12"/>
  </w:num>
  <w:num w:numId="9">
    <w:abstractNumId w:val="13"/>
  </w:num>
  <w:num w:numId="10">
    <w:abstractNumId w:val="24"/>
  </w:num>
  <w:num w:numId="11">
    <w:abstractNumId w:val="15"/>
  </w:num>
  <w:num w:numId="12">
    <w:abstractNumId w:val="21"/>
  </w:num>
  <w:num w:numId="13">
    <w:abstractNumId w:val="27"/>
  </w:num>
  <w:num w:numId="14">
    <w:abstractNumId w:val="18"/>
  </w:num>
  <w:num w:numId="15">
    <w:abstractNumId w:val="8"/>
  </w:num>
  <w:num w:numId="16">
    <w:abstractNumId w:val="2"/>
  </w:num>
  <w:num w:numId="17">
    <w:abstractNumId w:val="26"/>
  </w:num>
  <w:num w:numId="18">
    <w:abstractNumId w:val="16"/>
  </w:num>
  <w:num w:numId="19">
    <w:abstractNumId w:val="22"/>
  </w:num>
  <w:num w:numId="20">
    <w:abstractNumId w:val="7"/>
  </w:num>
  <w:num w:numId="21">
    <w:abstractNumId w:val="14"/>
  </w:num>
  <w:num w:numId="22">
    <w:abstractNumId w:val="5"/>
  </w:num>
  <w:num w:numId="23">
    <w:abstractNumId w:val="17"/>
  </w:num>
  <w:num w:numId="24">
    <w:abstractNumId w:val="4"/>
  </w:num>
  <w:num w:numId="25">
    <w:abstractNumId w:val="6"/>
  </w:num>
  <w:num w:numId="26">
    <w:abstractNumId w:val="30"/>
  </w:num>
  <w:num w:numId="27">
    <w:abstractNumId w:val="20"/>
  </w:num>
  <w:num w:numId="28">
    <w:abstractNumId w:val="9"/>
  </w:num>
  <w:num w:numId="29">
    <w:abstractNumId w:val="3"/>
  </w:num>
  <w:num w:numId="30">
    <w:abstractNumId w:val="1"/>
  </w:num>
  <w:num w:numId="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7B6"/>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1B81"/>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721"/>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0B41"/>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685F"/>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4FD2"/>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0E05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47CD-1E5A-4A6E-99CE-FE00306A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69</cp:revision>
  <cp:lastPrinted>2018-10-31T21:59:00Z</cp:lastPrinted>
  <dcterms:created xsi:type="dcterms:W3CDTF">2018-05-02T21:37:00Z</dcterms:created>
  <dcterms:modified xsi:type="dcterms:W3CDTF">2018-10-31T22:30:00Z</dcterms:modified>
</cp:coreProperties>
</file>