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6639B0">
        <w:rPr>
          <w:rFonts w:ascii="Arial" w:hAnsi="Arial" w:cs="Arial"/>
          <w:b/>
          <w:bCs/>
          <w:iCs/>
          <w:sz w:val="26"/>
          <w:szCs w:val="22"/>
          <w:lang w:val="es-CR"/>
        </w:rPr>
        <w:t>786</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6639B0"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6639B0" w:rsidRPr="00AC372A" w:rsidRDefault="006639B0" w:rsidP="006639B0">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6639B0" w:rsidRPr="00AC372A" w:rsidRDefault="006639B0" w:rsidP="006639B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6639B0" w:rsidRPr="00AC372A" w:rsidRDefault="006639B0" w:rsidP="006639B0">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6639B0" w:rsidRPr="00AC372A" w:rsidRDefault="006639B0" w:rsidP="006639B0">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6639B0" w:rsidRPr="00AC372A" w:rsidRDefault="006639B0" w:rsidP="006639B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sidR="00AC3ECC">
              <w:rPr>
                <w:rFonts w:ascii="Arial" w:eastAsia="Cambria" w:hAnsi="Arial" w:cs="Arial"/>
                <w:sz w:val="22"/>
                <w:szCs w:val="22"/>
                <w:lang w:val="es-ES_tradnl" w:eastAsia="en-US"/>
              </w:rPr>
              <w:t xml:space="preserve"> Sede Regional </w:t>
            </w:r>
            <w:r w:rsidRPr="00AC372A">
              <w:rPr>
                <w:rFonts w:ascii="Arial" w:eastAsia="Cambria" w:hAnsi="Arial" w:cs="Arial"/>
                <w:sz w:val="22"/>
                <w:szCs w:val="22"/>
                <w:lang w:val="es-ES_tradnl" w:eastAsia="en-US"/>
              </w:rPr>
              <w:t>San Carlos</w:t>
            </w:r>
          </w:p>
          <w:p w:rsidR="006639B0" w:rsidRDefault="006639B0" w:rsidP="006639B0">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sidR="00AC3ECC">
              <w:rPr>
                <w:rFonts w:ascii="Arial" w:eastAsia="Cambria" w:hAnsi="Arial" w:cs="Arial"/>
                <w:sz w:val="22"/>
                <w:szCs w:val="22"/>
                <w:lang w:val="es-ES_tradnl" w:eastAsia="en-US"/>
              </w:rPr>
              <w:t xml:space="preserve">Centro Académico de </w:t>
            </w:r>
            <w:bookmarkStart w:id="0" w:name="_GoBack"/>
            <w:bookmarkEnd w:id="0"/>
            <w:r w:rsidRPr="00AC372A">
              <w:rPr>
                <w:rFonts w:ascii="Arial" w:eastAsia="Cambria" w:hAnsi="Arial" w:cs="Arial"/>
                <w:sz w:val="22"/>
                <w:szCs w:val="22"/>
                <w:lang w:val="es-ES_tradnl" w:eastAsia="en-US"/>
              </w:rPr>
              <w:t>San José</w:t>
            </w:r>
          </w:p>
          <w:p w:rsidR="002A5B2E" w:rsidRPr="00AC372A" w:rsidRDefault="002A5B2E" w:rsidP="006639B0">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 Centro Académico de Alajuela</w:t>
            </w:r>
          </w:p>
          <w:p w:rsidR="006639B0" w:rsidRDefault="006639B0" w:rsidP="006639B0">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6639B0" w:rsidRDefault="006639B0" w:rsidP="006639B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6639B0" w:rsidRDefault="006639B0" w:rsidP="006639B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Andrea Cavero Quesada, Secretaria General AFITEC</w:t>
            </w:r>
          </w:p>
          <w:p w:rsidR="006639B0" w:rsidRDefault="006639B0" w:rsidP="006639B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6639B0" w:rsidRDefault="006639B0" w:rsidP="006639B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8D7E9D" w:rsidRPr="006639B0" w:rsidRDefault="008D7E9D" w:rsidP="001845FD">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1845F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04</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5D437B" w:rsidRDefault="00FF209C" w:rsidP="006639B0">
            <w:pPr>
              <w:jc w:val="both"/>
              <w:rPr>
                <w:rFonts w:ascii="Arial" w:hAnsi="Arial" w:cs="Arial"/>
                <w:b/>
                <w:sz w:val="22"/>
                <w:szCs w:val="22"/>
                <w:lang w:val="es-CR"/>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9A04DD">
              <w:rPr>
                <w:rFonts w:ascii="Arial" w:eastAsia="Calibri" w:hAnsi="Arial" w:cs="Arial"/>
                <w:b/>
                <w:sz w:val="22"/>
                <w:szCs w:val="22"/>
              </w:rPr>
              <w:t>9</w:t>
            </w:r>
            <w:r w:rsidR="001845FD">
              <w:rPr>
                <w:rFonts w:ascii="Arial" w:eastAsia="Calibri" w:hAnsi="Arial" w:cs="Arial"/>
                <w:b/>
                <w:sz w:val="22"/>
                <w:szCs w:val="22"/>
              </w:rPr>
              <w:t>0</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6639B0">
              <w:rPr>
                <w:rFonts w:ascii="Arial" w:eastAsia="Calibri" w:hAnsi="Arial" w:cs="Arial"/>
                <w:b/>
                <w:sz w:val="22"/>
                <w:szCs w:val="22"/>
              </w:rPr>
              <w:t>9</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1845FD">
              <w:rPr>
                <w:rFonts w:ascii="Arial" w:eastAsia="Calibri" w:hAnsi="Arial" w:cs="Arial"/>
                <w:b/>
                <w:sz w:val="22"/>
                <w:szCs w:val="22"/>
              </w:rPr>
              <w:t>04</w:t>
            </w:r>
            <w:r w:rsidR="00D76019">
              <w:rPr>
                <w:rFonts w:ascii="Arial" w:eastAsia="Calibri" w:hAnsi="Arial" w:cs="Arial"/>
                <w:b/>
                <w:sz w:val="22"/>
                <w:szCs w:val="22"/>
              </w:rPr>
              <w:t xml:space="preserve"> de </w:t>
            </w:r>
            <w:r w:rsidR="001845FD">
              <w:rPr>
                <w:rFonts w:ascii="Arial" w:eastAsia="Calibri" w:hAnsi="Arial" w:cs="Arial"/>
                <w:b/>
                <w:sz w:val="22"/>
                <w:szCs w:val="22"/>
              </w:rPr>
              <w:t>octu</w:t>
            </w:r>
            <w:r w:rsidR="00D76019">
              <w:rPr>
                <w:rFonts w:ascii="Arial" w:eastAsia="Calibri" w:hAnsi="Arial" w:cs="Arial"/>
                <w:b/>
                <w:sz w:val="22"/>
                <w:szCs w:val="22"/>
              </w:rPr>
              <w:t xml:space="preserve">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6639B0" w:rsidRPr="006639B0">
              <w:rPr>
                <w:rFonts w:ascii="Arial" w:eastAsia="Calibri" w:hAnsi="Arial" w:cs="Arial"/>
                <w:b/>
                <w:sz w:val="22"/>
                <w:szCs w:val="22"/>
              </w:rPr>
              <w:t>Consulta a la Comunidad Institucional y a la AFITEC “Modificación al Reglamento de Evaluación del Desempeño Académico del Instituto Tecnológico de Costa Rica, Capítulo 7: Recursos de Revocatoria y Apelación para la Evaluación del Superior Jerárquico, Artículo 26 y Normas y Procedimientos de Evaluación Docente, Capítulo 6: Recursos de Revocatoria y Apelación para la Evaluación Docente contra la Evaluación de los Estudiantes, Artículo 19.</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D437B" w:rsidRDefault="005D437B" w:rsidP="007742A1">
      <w:pPr>
        <w:jc w:val="both"/>
        <w:rPr>
          <w:rFonts w:ascii="Arial" w:eastAsia="Cambria" w:hAnsi="Arial" w:cs="Arial"/>
          <w:lang w:val="es-ES_tradnl" w:eastAsia="en-US"/>
        </w:rPr>
      </w:pPr>
    </w:p>
    <w:p w:rsidR="006639B0" w:rsidRPr="006639B0" w:rsidRDefault="006639B0" w:rsidP="006639B0">
      <w:pPr>
        <w:tabs>
          <w:tab w:val="left" w:pos="3070"/>
        </w:tabs>
        <w:contextualSpacing/>
        <w:jc w:val="both"/>
        <w:outlineLvl w:val="0"/>
        <w:rPr>
          <w:rFonts w:ascii="Arial" w:hAnsi="Arial" w:cs="Arial"/>
          <w:b/>
          <w:lang w:val="es-CR"/>
        </w:rPr>
      </w:pPr>
      <w:r w:rsidRPr="006639B0">
        <w:rPr>
          <w:rFonts w:ascii="Arial" w:hAnsi="Arial" w:cs="Arial"/>
          <w:b/>
          <w:lang w:val="es-CR"/>
        </w:rPr>
        <w:t>RESULTANDO QUE:</w:t>
      </w:r>
    </w:p>
    <w:p w:rsidR="006639B0" w:rsidRPr="006639B0" w:rsidRDefault="006639B0" w:rsidP="006639B0">
      <w:pPr>
        <w:tabs>
          <w:tab w:val="left" w:pos="3070"/>
        </w:tabs>
        <w:contextualSpacing/>
        <w:jc w:val="both"/>
        <w:outlineLvl w:val="0"/>
        <w:rPr>
          <w:rFonts w:ascii="Arial" w:hAnsi="Arial" w:cs="Arial"/>
          <w:b/>
          <w:lang w:val="es-CR"/>
        </w:rPr>
      </w:pPr>
    </w:p>
    <w:p w:rsidR="006639B0" w:rsidRPr="006639B0" w:rsidRDefault="006639B0" w:rsidP="006639B0">
      <w:pPr>
        <w:numPr>
          <w:ilvl w:val="0"/>
          <w:numId w:val="15"/>
        </w:numPr>
        <w:ind w:left="360"/>
        <w:jc w:val="both"/>
        <w:rPr>
          <w:rFonts w:ascii="Arial" w:hAnsi="Arial" w:cs="Arial"/>
          <w:lang w:val="es-CR"/>
        </w:rPr>
      </w:pPr>
      <w:r w:rsidRPr="006639B0">
        <w:rPr>
          <w:rFonts w:ascii="Arial" w:hAnsi="Arial" w:cs="Arial"/>
          <w:lang w:val="es-CR"/>
        </w:rPr>
        <w:t>El inciso f del Artículo 18, del Estatuto Orgánico del ITCR, establece:</w:t>
      </w:r>
    </w:p>
    <w:p w:rsidR="006639B0" w:rsidRPr="006639B0" w:rsidRDefault="006639B0" w:rsidP="006639B0">
      <w:pPr>
        <w:ind w:left="284" w:right="-1"/>
        <w:contextualSpacing/>
        <w:jc w:val="both"/>
        <w:rPr>
          <w:rFonts w:ascii="Arial" w:eastAsia="Calibri" w:hAnsi="Arial" w:cs="Arial"/>
          <w:bCs/>
          <w:sz w:val="20"/>
          <w:szCs w:val="20"/>
          <w:lang w:val="es-CR"/>
        </w:rPr>
      </w:pPr>
    </w:p>
    <w:p w:rsidR="006639B0" w:rsidRPr="006639B0" w:rsidRDefault="006639B0" w:rsidP="006639B0">
      <w:pPr>
        <w:ind w:left="709" w:right="284"/>
        <w:contextualSpacing/>
        <w:jc w:val="both"/>
        <w:rPr>
          <w:rFonts w:ascii="Arial" w:eastAsia="Calibri" w:hAnsi="Arial" w:cs="Arial"/>
          <w:bCs/>
          <w:i/>
          <w:sz w:val="22"/>
          <w:szCs w:val="22"/>
          <w:lang w:val="es-CR"/>
        </w:rPr>
      </w:pPr>
      <w:r w:rsidRPr="006639B0">
        <w:rPr>
          <w:rFonts w:ascii="Arial" w:eastAsia="Calibri" w:hAnsi="Arial" w:cs="Arial"/>
          <w:bCs/>
          <w:i/>
          <w:sz w:val="22"/>
          <w:szCs w:val="22"/>
          <w:lang w:val="es-CR"/>
        </w:rPr>
        <w:t>“Son funciones del Consejo Institucional:</w:t>
      </w:r>
    </w:p>
    <w:p w:rsidR="006639B0" w:rsidRPr="006639B0" w:rsidRDefault="006639B0" w:rsidP="006639B0">
      <w:pPr>
        <w:ind w:left="709" w:right="284"/>
        <w:jc w:val="both"/>
        <w:rPr>
          <w:rFonts w:ascii="Arial" w:hAnsi="Arial" w:cs="Arial"/>
          <w:bCs/>
          <w:i/>
          <w:sz w:val="22"/>
          <w:szCs w:val="22"/>
          <w:lang w:val="es-CR"/>
        </w:rPr>
      </w:pPr>
    </w:p>
    <w:p w:rsidR="006639B0" w:rsidRPr="006639B0" w:rsidRDefault="006639B0" w:rsidP="006639B0">
      <w:pPr>
        <w:ind w:left="993" w:right="284" w:hanging="284"/>
        <w:jc w:val="both"/>
        <w:rPr>
          <w:rFonts w:ascii="Arial" w:hAnsi="Arial" w:cs="Arial"/>
          <w:i/>
          <w:sz w:val="22"/>
          <w:szCs w:val="22"/>
          <w:lang w:val="es-CR"/>
        </w:rPr>
      </w:pPr>
      <w:r w:rsidRPr="006639B0">
        <w:rPr>
          <w:rFonts w:ascii="Arial" w:hAnsi="Arial" w:cs="Arial"/>
          <w:bCs/>
          <w:i/>
          <w:sz w:val="22"/>
          <w:szCs w:val="22"/>
          <w:lang w:val="es-CR"/>
        </w:rPr>
        <w:t xml:space="preserve">f. </w:t>
      </w:r>
      <w:r w:rsidRPr="006639B0">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6639B0" w:rsidRPr="006639B0" w:rsidRDefault="006639B0" w:rsidP="006639B0">
      <w:pPr>
        <w:ind w:left="1320" w:hanging="1320"/>
        <w:jc w:val="both"/>
        <w:rPr>
          <w:rFonts w:ascii="Arial" w:hAnsi="Arial" w:cs="Arial"/>
          <w:lang w:val="es-CR"/>
        </w:rPr>
      </w:pPr>
    </w:p>
    <w:p w:rsidR="006639B0" w:rsidRPr="006639B0" w:rsidRDefault="006639B0" w:rsidP="006639B0">
      <w:pPr>
        <w:numPr>
          <w:ilvl w:val="0"/>
          <w:numId w:val="15"/>
        </w:numPr>
        <w:ind w:left="426"/>
        <w:jc w:val="both"/>
        <w:rPr>
          <w:rFonts w:ascii="Arial" w:hAnsi="Arial" w:cs="Arial"/>
          <w:lang w:val="es-CR"/>
        </w:rPr>
      </w:pPr>
      <w:r w:rsidRPr="006639B0">
        <w:rPr>
          <w:rFonts w:ascii="Arial" w:hAnsi="Arial" w:cs="Arial"/>
          <w:lang w:val="es-CR"/>
        </w:rPr>
        <w:t xml:space="preserve">La Segunda Convención Colectiva y sus Reformas en su artículo 2 indica lo siguiente: </w:t>
      </w:r>
    </w:p>
    <w:p w:rsidR="006639B0" w:rsidRPr="006639B0" w:rsidRDefault="006639B0" w:rsidP="006639B0">
      <w:pPr>
        <w:spacing w:before="120"/>
        <w:ind w:left="708" w:right="333"/>
        <w:jc w:val="both"/>
        <w:rPr>
          <w:rFonts w:ascii="Arial" w:hAnsi="Arial" w:cs="Arial"/>
          <w:i/>
          <w:sz w:val="22"/>
          <w:szCs w:val="20"/>
          <w:lang w:val="es-CR"/>
        </w:rPr>
      </w:pPr>
      <w:r w:rsidRPr="006639B0">
        <w:rPr>
          <w:rFonts w:ascii="Arial" w:hAnsi="Arial" w:cs="Arial"/>
          <w:i/>
          <w:sz w:val="22"/>
          <w:szCs w:val="20"/>
          <w:lang w:val="es-CR"/>
        </w:rPr>
        <w:t xml:space="preserve">“Artículo 2 </w:t>
      </w:r>
    </w:p>
    <w:p w:rsidR="006639B0" w:rsidRPr="006639B0" w:rsidRDefault="006639B0" w:rsidP="006639B0">
      <w:pPr>
        <w:spacing w:before="120"/>
        <w:ind w:left="708" w:right="333"/>
        <w:jc w:val="both"/>
        <w:rPr>
          <w:rFonts w:ascii="Arial" w:hAnsi="Arial" w:cs="Arial"/>
          <w:i/>
          <w:sz w:val="22"/>
          <w:szCs w:val="20"/>
          <w:lang w:val="es-CR"/>
        </w:rPr>
      </w:pPr>
      <w:r w:rsidRPr="006639B0">
        <w:rPr>
          <w:rFonts w:ascii="Arial" w:hAnsi="Arial" w:cs="Arial"/>
          <w:i/>
          <w:sz w:val="22"/>
          <w:szCs w:val="20"/>
          <w:lang w:val="es-CR"/>
        </w:rPr>
        <w:lastRenderedPageBreak/>
        <w:t xml:space="preserve">Con fundamento en el artículo 62 de la Constitución Política de Costa Rica y el artículo 54 y siguientes del Código de Trabajo y artículo 15 de la Ley Orgánica, se negocia la presente Convención Colectiva de Trabajo entre el Instituto Tecnológico de Costa Rica y la AFITEC, con el propósito de consolidar y mejorar las condiciones y relaciones laborales y lograr, así, que las partes contratantes alcancen de la mejor manera sus propios fines.” </w:t>
      </w:r>
    </w:p>
    <w:p w:rsidR="006639B0" w:rsidRPr="006639B0" w:rsidRDefault="006639B0" w:rsidP="006639B0">
      <w:pPr>
        <w:overflowPunct w:val="0"/>
        <w:autoSpaceDE w:val="0"/>
        <w:autoSpaceDN w:val="0"/>
        <w:adjustRightInd w:val="0"/>
        <w:ind w:left="993" w:right="618" w:hanging="426"/>
        <w:jc w:val="both"/>
        <w:textAlignment w:val="baseline"/>
        <w:rPr>
          <w:rFonts w:cs="Arial"/>
          <w:i/>
          <w:sz w:val="20"/>
          <w:szCs w:val="20"/>
          <w:lang w:val="es-CR"/>
        </w:rPr>
      </w:pPr>
    </w:p>
    <w:p w:rsidR="006639B0" w:rsidRPr="006639B0" w:rsidRDefault="006639B0" w:rsidP="006639B0">
      <w:pPr>
        <w:numPr>
          <w:ilvl w:val="0"/>
          <w:numId w:val="15"/>
        </w:numPr>
        <w:tabs>
          <w:tab w:val="num" w:pos="465"/>
        </w:tabs>
        <w:ind w:left="567"/>
        <w:jc w:val="both"/>
        <w:rPr>
          <w:rFonts w:ascii="Arial" w:hAnsi="Arial" w:cs="Arial"/>
          <w:lang w:val="es-CR"/>
        </w:rPr>
      </w:pPr>
      <w:r w:rsidRPr="006639B0">
        <w:rPr>
          <w:rFonts w:ascii="Arial" w:hAnsi="Arial" w:cs="Arial"/>
          <w:lang w:val="es-CR"/>
        </w:rPr>
        <w:t xml:space="preserve">El artículo 3 de la Segunda Convención Colectiva de Trabajo y sus Reformas, establece: </w:t>
      </w:r>
    </w:p>
    <w:p w:rsidR="006639B0" w:rsidRPr="006639B0" w:rsidRDefault="006639B0" w:rsidP="006639B0">
      <w:pPr>
        <w:spacing w:before="120"/>
        <w:ind w:left="708"/>
        <w:jc w:val="both"/>
        <w:rPr>
          <w:rFonts w:ascii="Arial" w:hAnsi="Arial" w:cs="Arial"/>
          <w:sz w:val="22"/>
          <w:szCs w:val="20"/>
          <w:lang w:val="es-CR"/>
        </w:rPr>
      </w:pPr>
      <w:r w:rsidRPr="006639B0">
        <w:rPr>
          <w:rFonts w:ascii="Arial" w:hAnsi="Arial" w:cs="Arial"/>
          <w:sz w:val="22"/>
          <w:szCs w:val="20"/>
          <w:lang w:val="es-CR"/>
        </w:rPr>
        <w:t>“…</w:t>
      </w:r>
    </w:p>
    <w:p w:rsidR="006639B0" w:rsidRPr="006639B0" w:rsidRDefault="006639B0" w:rsidP="006639B0">
      <w:pPr>
        <w:spacing w:before="120"/>
        <w:ind w:left="708" w:right="333"/>
        <w:jc w:val="both"/>
        <w:rPr>
          <w:rFonts w:ascii="Arial" w:hAnsi="Arial" w:cs="Arial"/>
          <w:i/>
          <w:sz w:val="22"/>
          <w:szCs w:val="20"/>
          <w:lang w:val="es-CR"/>
        </w:rPr>
      </w:pPr>
      <w:r w:rsidRPr="006639B0">
        <w:rPr>
          <w:rFonts w:ascii="Arial" w:hAnsi="Arial" w:cs="Arial"/>
          <w:i/>
          <w:sz w:val="22"/>
          <w:szCs w:val="20"/>
          <w:lang w:val="es-CR"/>
        </w:rPr>
        <w:t>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p>
    <w:p w:rsidR="006639B0" w:rsidRPr="006639B0" w:rsidRDefault="006639B0" w:rsidP="006639B0">
      <w:pPr>
        <w:tabs>
          <w:tab w:val="left" w:pos="3070"/>
        </w:tabs>
        <w:contextualSpacing/>
        <w:jc w:val="both"/>
        <w:outlineLvl w:val="0"/>
        <w:rPr>
          <w:rFonts w:ascii="Arial" w:hAnsi="Arial" w:cs="Arial"/>
          <w:b/>
          <w:lang w:val="es-CR"/>
        </w:rPr>
      </w:pPr>
    </w:p>
    <w:p w:rsidR="006639B0" w:rsidRPr="006639B0" w:rsidRDefault="006639B0" w:rsidP="006639B0">
      <w:pPr>
        <w:tabs>
          <w:tab w:val="left" w:pos="3070"/>
        </w:tabs>
        <w:contextualSpacing/>
        <w:jc w:val="both"/>
        <w:outlineLvl w:val="0"/>
        <w:rPr>
          <w:rFonts w:ascii="Arial" w:hAnsi="Arial" w:cs="Arial"/>
          <w:b/>
          <w:lang w:val="es-CR"/>
        </w:rPr>
      </w:pPr>
      <w:r w:rsidRPr="006639B0">
        <w:rPr>
          <w:rFonts w:ascii="Arial" w:hAnsi="Arial" w:cs="Arial"/>
          <w:b/>
          <w:lang w:val="es-CR"/>
        </w:rPr>
        <w:t>CONSIDERANDO QUE:</w:t>
      </w:r>
    </w:p>
    <w:p w:rsidR="006639B0" w:rsidRPr="006639B0" w:rsidRDefault="006639B0" w:rsidP="006639B0">
      <w:pPr>
        <w:ind w:left="1320" w:hanging="1320"/>
        <w:jc w:val="both"/>
        <w:rPr>
          <w:rFonts w:ascii="Arial" w:hAnsi="Arial" w:cs="Arial"/>
          <w:lang w:val="es-CR"/>
        </w:rPr>
      </w:pPr>
    </w:p>
    <w:p w:rsidR="006639B0" w:rsidRPr="006639B0" w:rsidRDefault="006639B0" w:rsidP="006639B0">
      <w:pPr>
        <w:numPr>
          <w:ilvl w:val="0"/>
          <w:numId w:val="17"/>
        </w:numPr>
        <w:ind w:left="360"/>
        <w:jc w:val="both"/>
        <w:rPr>
          <w:rFonts w:ascii="Arial" w:hAnsi="Arial" w:cs="Arial"/>
          <w:lang w:val="es-CR"/>
        </w:rPr>
      </w:pPr>
      <w:r w:rsidRPr="006639B0">
        <w:rPr>
          <w:rFonts w:ascii="Arial" w:hAnsi="Arial" w:cs="Arial"/>
          <w:lang w:val="es-CR"/>
        </w:rPr>
        <w:t>La Secretaría del Consejo Institucional, recibe el oficio RH-919-2018, con fecha de recibido 13 de setiembre de 2018, suscrito por la Dra. Hannia Rodríguez Mora, Directora del Departamento de Recursos Humanos, dirigido al Dr. Julio Calvo, Presidente del Consejo Institucional, en el cual remite la propuesta de modificación al Reglamento del Evaluación del Desempeño del ITCR, para el dictamen correspondiente, que dice:</w:t>
      </w:r>
    </w:p>
    <w:p w:rsidR="006639B0" w:rsidRPr="006639B0" w:rsidRDefault="006639B0" w:rsidP="006639B0">
      <w:pPr>
        <w:ind w:left="360"/>
        <w:jc w:val="both"/>
        <w:rPr>
          <w:rFonts w:ascii="Arial" w:hAnsi="Arial" w:cs="Arial"/>
          <w:lang w:val="es-CR"/>
        </w:rPr>
      </w:pPr>
    </w:p>
    <w:p w:rsidR="006639B0" w:rsidRPr="006639B0" w:rsidRDefault="006639B0" w:rsidP="006639B0">
      <w:pPr>
        <w:spacing w:after="160" w:line="259" w:lineRule="auto"/>
        <w:ind w:left="567" w:right="333"/>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t>“Como resultado de la revisión normativa que está realizando el Departamento de Recursos Humanos, atinente a los procesos de la gestión del talento humano del Tecnológico de Costa Rica, se presenta la siguiente solicitud de modificación normativa para que por favor se proceda de conformidad.</w:t>
      </w:r>
    </w:p>
    <w:p w:rsidR="006639B0" w:rsidRPr="006639B0" w:rsidRDefault="006639B0" w:rsidP="006639B0">
      <w:pPr>
        <w:spacing w:after="160" w:line="259" w:lineRule="auto"/>
        <w:ind w:left="567" w:right="333"/>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t>RESULTANDO QUE:</w:t>
      </w:r>
    </w:p>
    <w:p w:rsidR="006639B0" w:rsidRPr="006639B0" w:rsidRDefault="006639B0" w:rsidP="006639B0">
      <w:pPr>
        <w:numPr>
          <w:ilvl w:val="0"/>
          <w:numId w:val="19"/>
        </w:numPr>
        <w:tabs>
          <w:tab w:val="left" w:pos="8640"/>
        </w:tabs>
        <w:ind w:right="-136"/>
        <w:jc w:val="both"/>
        <w:rPr>
          <w:rFonts w:ascii="Arial" w:hAnsi="Arial" w:cs="Arial"/>
          <w:i/>
          <w:sz w:val="22"/>
        </w:rPr>
      </w:pPr>
      <w:r w:rsidRPr="006639B0">
        <w:rPr>
          <w:rFonts w:ascii="Arial" w:hAnsi="Arial" w:cs="Arial"/>
          <w:i/>
          <w:sz w:val="22"/>
        </w:rPr>
        <w:t>El Estatuto Orgánico del ITCR, en su artículo 26, inciso o, establece:</w:t>
      </w:r>
    </w:p>
    <w:p w:rsidR="006639B0" w:rsidRPr="006639B0" w:rsidRDefault="006639B0" w:rsidP="006639B0">
      <w:pPr>
        <w:numPr>
          <w:ilvl w:val="0"/>
          <w:numId w:val="18"/>
        </w:numPr>
        <w:spacing w:before="100" w:beforeAutospacing="1" w:after="100" w:afterAutospacing="1"/>
        <w:ind w:left="709"/>
        <w:rPr>
          <w:rFonts w:ascii="Arial" w:hAnsi="Arial" w:cs="Arial"/>
          <w:b/>
          <w:i/>
          <w:color w:val="111111"/>
          <w:sz w:val="22"/>
          <w:lang w:eastAsia="es-CR"/>
        </w:rPr>
      </w:pPr>
      <w:r w:rsidRPr="006639B0">
        <w:rPr>
          <w:rFonts w:ascii="Arial" w:hAnsi="Arial" w:cs="Arial"/>
          <w:b/>
          <w:i/>
          <w:color w:val="111111"/>
          <w:sz w:val="22"/>
          <w:lang w:eastAsia="es-CR"/>
        </w:rPr>
        <w:t xml:space="preserve">Son funciones del Rector: </w:t>
      </w:r>
    </w:p>
    <w:p w:rsidR="006639B0" w:rsidRPr="006639B0" w:rsidRDefault="006639B0" w:rsidP="006639B0">
      <w:pPr>
        <w:numPr>
          <w:ilvl w:val="0"/>
          <w:numId w:val="18"/>
        </w:numPr>
        <w:spacing w:before="100" w:beforeAutospacing="1" w:after="100" w:afterAutospacing="1"/>
        <w:ind w:left="709"/>
        <w:rPr>
          <w:rFonts w:ascii="Arial" w:hAnsi="Arial" w:cs="Arial"/>
          <w:b/>
          <w:i/>
          <w:color w:val="111111"/>
          <w:sz w:val="22"/>
          <w:lang w:val="es-CR" w:eastAsia="es-CR"/>
        </w:rPr>
      </w:pPr>
      <w:r w:rsidRPr="006639B0">
        <w:rPr>
          <w:rFonts w:ascii="Arial" w:hAnsi="Arial" w:cs="Arial"/>
          <w:b/>
          <w:i/>
          <w:color w:val="111111"/>
          <w:sz w:val="22"/>
          <w:lang w:val="es-CR" w:eastAsia="es-CR"/>
        </w:rPr>
        <w:t>(…)</w:t>
      </w:r>
    </w:p>
    <w:p w:rsidR="006639B0" w:rsidRPr="006639B0" w:rsidRDefault="006639B0" w:rsidP="006639B0">
      <w:pPr>
        <w:tabs>
          <w:tab w:val="left" w:pos="8640"/>
        </w:tabs>
        <w:ind w:left="720" w:right="-136"/>
        <w:jc w:val="both"/>
        <w:rPr>
          <w:rFonts w:ascii="Arial" w:hAnsi="Arial" w:cs="Arial"/>
          <w:i/>
          <w:sz w:val="22"/>
        </w:rPr>
      </w:pPr>
      <w:r w:rsidRPr="006639B0">
        <w:rPr>
          <w:rFonts w:ascii="Arial" w:hAnsi="Arial" w:cs="Arial"/>
          <w:b/>
          <w:i/>
          <w:color w:val="111111"/>
          <w:sz w:val="22"/>
          <w:lang w:eastAsia="es-CR"/>
        </w:rPr>
        <w:t>o. Agotar la vía administrativa en materia laboral</w:t>
      </w:r>
    </w:p>
    <w:p w:rsidR="006639B0" w:rsidRPr="006639B0" w:rsidRDefault="006639B0" w:rsidP="006639B0">
      <w:pPr>
        <w:tabs>
          <w:tab w:val="left" w:pos="8640"/>
        </w:tabs>
        <w:ind w:left="720" w:right="-136"/>
        <w:jc w:val="both"/>
        <w:rPr>
          <w:rFonts w:ascii="Arial" w:hAnsi="Arial" w:cs="Arial"/>
          <w:i/>
          <w:sz w:val="22"/>
        </w:rPr>
      </w:pPr>
    </w:p>
    <w:p w:rsidR="006639B0" w:rsidRPr="006639B0" w:rsidRDefault="006639B0" w:rsidP="006639B0">
      <w:pPr>
        <w:numPr>
          <w:ilvl w:val="0"/>
          <w:numId w:val="19"/>
        </w:numPr>
        <w:tabs>
          <w:tab w:val="left" w:pos="8640"/>
        </w:tabs>
        <w:ind w:right="-136"/>
        <w:jc w:val="both"/>
        <w:rPr>
          <w:rFonts w:ascii="Arial" w:hAnsi="Arial" w:cs="Arial"/>
          <w:i/>
          <w:sz w:val="22"/>
        </w:rPr>
      </w:pPr>
      <w:r w:rsidRPr="006639B0">
        <w:rPr>
          <w:rFonts w:ascii="Arial" w:hAnsi="Arial" w:cs="Arial"/>
          <w:i/>
          <w:sz w:val="22"/>
        </w:rPr>
        <w:t>El Estatuto Orgánico del ITCR, en su artículo 50 bis, apartado 2, inciso f, establece:</w:t>
      </w:r>
    </w:p>
    <w:p w:rsidR="006639B0" w:rsidRPr="006639B0" w:rsidRDefault="006639B0" w:rsidP="006639B0">
      <w:pPr>
        <w:numPr>
          <w:ilvl w:val="0"/>
          <w:numId w:val="18"/>
        </w:numPr>
        <w:spacing w:before="100" w:beforeAutospacing="1" w:after="100" w:afterAutospacing="1"/>
        <w:ind w:left="709"/>
        <w:rPr>
          <w:rFonts w:ascii="Arial" w:hAnsi="Arial" w:cs="Arial"/>
          <w:b/>
          <w:i/>
          <w:color w:val="111111"/>
          <w:sz w:val="22"/>
          <w:lang w:val="es-CR" w:eastAsia="es-CR"/>
        </w:rPr>
      </w:pPr>
      <w:r w:rsidRPr="006639B0">
        <w:rPr>
          <w:rFonts w:ascii="Arial" w:hAnsi="Arial" w:cs="Arial"/>
          <w:b/>
          <w:i/>
          <w:color w:val="111111"/>
          <w:sz w:val="22"/>
          <w:lang w:eastAsia="es-CR"/>
        </w:rPr>
        <w:t>Son funciones del Consejo de Área:</w:t>
      </w:r>
    </w:p>
    <w:p w:rsidR="006639B0" w:rsidRPr="006639B0" w:rsidRDefault="006639B0" w:rsidP="006639B0">
      <w:pPr>
        <w:numPr>
          <w:ilvl w:val="0"/>
          <w:numId w:val="18"/>
        </w:numPr>
        <w:spacing w:before="100" w:beforeAutospacing="1" w:after="100" w:afterAutospacing="1"/>
        <w:ind w:left="709"/>
        <w:rPr>
          <w:rFonts w:ascii="Arial" w:hAnsi="Arial" w:cs="Arial"/>
          <w:b/>
          <w:i/>
          <w:color w:val="111111"/>
          <w:sz w:val="22"/>
          <w:lang w:val="es-CR" w:eastAsia="es-CR"/>
        </w:rPr>
      </w:pPr>
      <w:r w:rsidRPr="006639B0">
        <w:rPr>
          <w:rFonts w:ascii="Arial" w:hAnsi="Arial" w:cs="Arial"/>
          <w:b/>
          <w:i/>
          <w:color w:val="111111"/>
          <w:sz w:val="22"/>
          <w:lang w:val="es-CR" w:eastAsia="es-CR"/>
        </w:rPr>
        <w:t>(…)</w:t>
      </w:r>
    </w:p>
    <w:p w:rsidR="006639B0" w:rsidRPr="006639B0" w:rsidRDefault="006639B0" w:rsidP="006639B0">
      <w:pPr>
        <w:tabs>
          <w:tab w:val="left" w:pos="8640"/>
        </w:tabs>
        <w:ind w:left="709" w:right="-136"/>
        <w:jc w:val="both"/>
        <w:rPr>
          <w:rFonts w:ascii="Arial" w:hAnsi="Arial" w:cs="Arial"/>
          <w:b/>
          <w:i/>
          <w:color w:val="111111"/>
          <w:sz w:val="22"/>
          <w:lang w:eastAsia="es-CR"/>
        </w:rPr>
      </w:pPr>
      <w:r w:rsidRPr="006639B0">
        <w:rPr>
          <w:rFonts w:ascii="Arial" w:hAnsi="Arial" w:cs="Arial"/>
          <w:b/>
          <w:i/>
          <w:color w:val="111111"/>
          <w:sz w:val="22"/>
          <w:lang w:eastAsia="es-CR"/>
        </w:rPr>
        <w:t>f. Resolver los recursos de apelación contra las resoluciones en materia académica del coordinador de área.</w:t>
      </w:r>
    </w:p>
    <w:p w:rsidR="006639B0" w:rsidRPr="006639B0" w:rsidRDefault="006639B0" w:rsidP="006639B0">
      <w:pPr>
        <w:tabs>
          <w:tab w:val="left" w:pos="8640"/>
        </w:tabs>
        <w:ind w:left="720" w:right="-136"/>
        <w:jc w:val="both"/>
        <w:rPr>
          <w:rFonts w:ascii="Arial" w:hAnsi="Arial" w:cs="Arial"/>
          <w:i/>
          <w:sz w:val="22"/>
        </w:rPr>
      </w:pPr>
    </w:p>
    <w:p w:rsidR="006639B0" w:rsidRPr="006639B0" w:rsidRDefault="006639B0" w:rsidP="006639B0">
      <w:pPr>
        <w:numPr>
          <w:ilvl w:val="0"/>
          <w:numId w:val="19"/>
        </w:numPr>
        <w:tabs>
          <w:tab w:val="left" w:pos="8640"/>
        </w:tabs>
        <w:ind w:right="-136"/>
        <w:jc w:val="both"/>
        <w:rPr>
          <w:rFonts w:ascii="Arial" w:hAnsi="Arial" w:cs="Arial"/>
          <w:i/>
          <w:sz w:val="22"/>
        </w:rPr>
      </w:pPr>
      <w:r w:rsidRPr="006639B0">
        <w:rPr>
          <w:rFonts w:ascii="Arial" w:hAnsi="Arial" w:cs="Arial"/>
          <w:i/>
          <w:sz w:val="22"/>
        </w:rPr>
        <w:lastRenderedPageBreak/>
        <w:t>El Estatuto Orgánico del ITCR, en su artículo 56, inciso d, indica:</w:t>
      </w:r>
    </w:p>
    <w:p w:rsidR="006639B0" w:rsidRPr="006639B0" w:rsidRDefault="006639B0" w:rsidP="006639B0">
      <w:pPr>
        <w:numPr>
          <w:ilvl w:val="0"/>
          <w:numId w:val="18"/>
        </w:numPr>
        <w:spacing w:before="100" w:beforeAutospacing="1" w:after="100" w:afterAutospacing="1"/>
        <w:ind w:left="709"/>
        <w:rPr>
          <w:rFonts w:ascii="Arial" w:hAnsi="Arial" w:cs="Arial"/>
          <w:b/>
          <w:i/>
          <w:color w:val="111111"/>
          <w:sz w:val="22"/>
          <w:lang w:val="es-CR" w:eastAsia="es-CR"/>
        </w:rPr>
      </w:pPr>
      <w:r w:rsidRPr="006639B0">
        <w:rPr>
          <w:rFonts w:ascii="Arial" w:hAnsi="Arial" w:cs="Arial"/>
          <w:b/>
          <w:i/>
          <w:color w:val="111111"/>
          <w:sz w:val="22"/>
          <w:lang w:val="es-CR" w:eastAsia="es-CR"/>
        </w:rPr>
        <w:t>Son atribuciones del Consejo de Departamento Académico:</w:t>
      </w:r>
    </w:p>
    <w:p w:rsidR="006639B0" w:rsidRPr="006639B0" w:rsidRDefault="006639B0" w:rsidP="006639B0">
      <w:pPr>
        <w:numPr>
          <w:ilvl w:val="0"/>
          <w:numId w:val="18"/>
        </w:numPr>
        <w:spacing w:before="100" w:beforeAutospacing="1" w:after="100" w:afterAutospacing="1"/>
        <w:ind w:left="709"/>
        <w:rPr>
          <w:rFonts w:ascii="Arial" w:hAnsi="Arial" w:cs="Arial"/>
          <w:b/>
          <w:i/>
          <w:color w:val="111111"/>
          <w:sz w:val="22"/>
          <w:lang w:val="es-CR" w:eastAsia="es-CR"/>
        </w:rPr>
      </w:pPr>
      <w:r w:rsidRPr="006639B0">
        <w:rPr>
          <w:rFonts w:ascii="Arial" w:hAnsi="Arial" w:cs="Arial"/>
          <w:b/>
          <w:i/>
          <w:color w:val="111111"/>
          <w:sz w:val="22"/>
          <w:lang w:val="es-CR" w:eastAsia="es-CR"/>
        </w:rPr>
        <w:t>(…)</w:t>
      </w:r>
    </w:p>
    <w:p w:rsidR="006639B0" w:rsidRPr="006639B0" w:rsidRDefault="006639B0" w:rsidP="006639B0">
      <w:pPr>
        <w:numPr>
          <w:ilvl w:val="0"/>
          <w:numId w:val="18"/>
        </w:numPr>
        <w:spacing w:before="100" w:beforeAutospacing="1" w:after="100" w:afterAutospacing="1"/>
        <w:ind w:left="709"/>
        <w:rPr>
          <w:rFonts w:ascii="Arial" w:hAnsi="Arial" w:cs="Arial"/>
          <w:b/>
          <w:i/>
          <w:color w:val="111111"/>
          <w:sz w:val="22"/>
          <w:lang w:val="es-CR" w:eastAsia="es-CR"/>
        </w:rPr>
      </w:pPr>
      <w:r w:rsidRPr="006639B0">
        <w:rPr>
          <w:rFonts w:ascii="Arial" w:hAnsi="Arial" w:cs="Arial"/>
          <w:b/>
          <w:i/>
          <w:color w:val="111111"/>
          <w:sz w:val="22"/>
          <w:lang w:val="es-CR" w:eastAsia="es-CR"/>
        </w:rPr>
        <w:t>d. Resolver los recursos de apelación contra las resoluciones en materia académica del Director de Departamento.</w:t>
      </w:r>
    </w:p>
    <w:p w:rsidR="006639B0" w:rsidRPr="006639B0" w:rsidRDefault="006639B0" w:rsidP="006639B0">
      <w:pPr>
        <w:numPr>
          <w:ilvl w:val="0"/>
          <w:numId w:val="19"/>
        </w:numPr>
        <w:tabs>
          <w:tab w:val="left" w:pos="8640"/>
        </w:tabs>
        <w:ind w:right="-136"/>
        <w:jc w:val="both"/>
        <w:rPr>
          <w:rFonts w:ascii="Arial" w:hAnsi="Arial" w:cs="Arial"/>
          <w:i/>
          <w:sz w:val="22"/>
        </w:rPr>
      </w:pPr>
      <w:r w:rsidRPr="006639B0">
        <w:rPr>
          <w:rFonts w:ascii="Arial" w:hAnsi="Arial" w:cs="Arial"/>
          <w:i/>
          <w:sz w:val="22"/>
        </w:rPr>
        <w:t>El Estatuto Orgánico del ITCR, en su artículo 83-bis 4, apartado 2, inciso c, indica:</w:t>
      </w:r>
    </w:p>
    <w:p w:rsidR="006639B0" w:rsidRPr="006639B0" w:rsidRDefault="006639B0" w:rsidP="006639B0">
      <w:pPr>
        <w:numPr>
          <w:ilvl w:val="0"/>
          <w:numId w:val="18"/>
        </w:numPr>
        <w:spacing w:before="100" w:beforeAutospacing="1" w:after="100" w:afterAutospacing="1"/>
        <w:ind w:left="709"/>
        <w:rPr>
          <w:rFonts w:ascii="Arial" w:hAnsi="Arial" w:cs="Arial"/>
          <w:b/>
          <w:i/>
          <w:color w:val="111111"/>
          <w:sz w:val="22"/>
          <w:lang w:eastAsia="es-CR"/>
        </w:rPr>
      </w:pPr>
      <w:r w:rsidRPr="006639B0">
        <w:rPr>
          <w:rFonts w:ascii="Arial" w:hAnsi="Arial" w:cs="Arial"/>
          <w:b/>
          <w:i/>
          <w:color w:val="111111"/>
          <w:sz w:val="22"/>
          <w:lang w:eastAsia="es-CR"/>
        </w:rPr>
        <w:t xml:space="preserve">Son funciones del Consejo de Unidad desconcentrada: </w:t>
      </w:r>
    </w:p>
    <w:p w:rsidR="006639B0" w:rsidRPr="006639B0" w:rsidRDefault="006639B0" w:rsidP="006639B0">
      <w:pPr>
        <w:numPr>
          <w:ilvl w:val="0"/>
          <w:numId w:val="18"/>
        </w:numPr>
        <w:spacing w:before="100" w:beforeAutospacing="1" w:after="100" w:afterAutospacing="1"/>
        <w:ind w:left="709"/>
        <w:rPr>
          <w:rFonts w:ascii="Arial" w:hAnsi="Arial" w:cs="Arial"/>
          <w:b/>
          <w:i/>
          <w:color w:val="111111"/>
          <w:sz w:val="22"/>
          <w:lang w:val="es-CR" w:eastAsia="es-CR"/>
        </w:rPr>
      </w:pPr>
      <w:r w:rsidRPr="006639B0">
        <w:rPr>
          <w:rFonts w:ascii="Arial" w:hAnsi="Arial" w:cs="Arial"/>
          <w:b/>
          <w:i/>
          <w:color w:val="111111"/>
          <w:sz w:val="22"/>
          <w:lang w:val="es-CR" w:eastAsia="es-CR"/>
        </w:rPr>
        <w:t>(…)</w:t>
      </w:r>
    </w:p>
    <w:p w:rsidR="006639B0" w:rsidRPr="006639B0" w:rsidRDefault="006639B0" w:rsidP="006639B0">
      <w:pPr>
        <w:numPr>
          <w:ilvl w:val="0"/>
          <w:numId w:val="18"/>
        </w:numPr>
        <w:spacing w:before="100" w:beforeAutospacing="1" w:after="100" w:afterAutospacing="1"/>
        <w:ind w:left="709"/>
        <w:jc w:val="both"/>
        <w:rPr>
          <w:rFonts w:ascii="Arial" w:hAnsi="Arial" w:cs="Arial"/>
          <w:b/>
          <w:i/>
          <w:color w:val="111111"/>
          <w:sz w:val="22"/>
          <w:lang w:eastAsia="es-CR"/>
        </w:rPr>
      </w:pPr>
      <w:r w:rsidRPr="006639B0">
        <w:rPr>
          <w:rFonts w:ascii="Arial" w:hAnsi="Arial" w:cs="Arial"/>
          <w:b/>
          <w:i/>
          <w:color w:val="111111"/>
          <w:sz w:val="22"/>
          <w:lang w:eastAsia="es-CR"/>
        </w:rPr>
        <w:t>c. Analizar y resolver los recursos de apelación contra las resoluciones en materia académica del Coordinador de la Unidad desconcentrada.</w:t>
      </w:r>
    </w:p>
    <w:p w:rsidR="006639B0" w:rsidRPr="006639B0" w:rsidRDefault="006639B0" w:rsidP="006639B0">
      <w:pPr>
        <w:numPr>
          <w:ilvl w:val="0"/>
          <w:numId w:val="19"/>
        </w:numPr>
        <w:tabs>
          <w:tab w:val="left" w:pos="8640"/>
        </w:tabs>
        <w:ind w:right="-136"/>
        <w:jc w:val="both"/>
        <w:rPr>
          <w:rFonts w:ascii="Arial" w:hAnsi="Arial" w:cs="Arial"/>
          <w:i/>
          <w:sz w:val="22"/>
        </w:rPr>
      </w:pPr>
      <w:r w:rsidRPr="006639B0">
        <w:rPr>
          <w:rFonts w:ascii="Arial" w:hAnsi="Arial" w:cs="Arial"/>
          <w:i/>
          <w:sz w:val="22"/>
        </w:rPr>
        <w:t>El Reglamento de Evaluación del Desempeño Académico, en el capítulo 7. Recursos de Revocatoria Y Apelación para la Evaluación contra la Evaluación del Superior Jerárquico, artículo 26, establece:</w:t>
      </w:r>
    </w:p>
    <w:p w:rsidR="006639B0" w:rsidRPr="006639B0" w:rsidRDefault="006639B0" w:rsidP="006639B0">
      <w:pPr>
        <w:tabs>
          <w:tab w:val="left" w:pos="8640"/>
        </w:tabs>
        <w:ind w:right="-136"/>
        <w:jc w:val="both"/>
        <w:rPr>
          <w:rFonts w:ascii="Arial" w:hAnsi="Arial" w:cs="Arial"/>
          <w:b/>
          <w:i/>
          <w:color w:val="111111"/>
          <w:sz w:val="22"/>
          <w:lang w:eastAsia="es-CR"/>
        </w:rPr>
      </w:pPr>
    </w:p>
    <w:p w:rsidR="006639B0" w:rsidRPr="006639B0" w:rsidRDefault="006639B0" w:rsidP="006639B0">
      <w:pPr>
        <w:tabs>
          <w:tab w:val="left" w:pos="8640"/>
        </w:tabs>
        <w:ind w:left="709" w:right="-136"/>
        <w:jc w:val="both"/>
        <w:rPr>
          <w:rFonts w:ascii="Arial" w:hAnsi="Arial" w:cs="Arial"/>
          <w:b/>
          <w:i/>
          <w:color w:val="111111"/>
          <w:sz w:val="22"/>
          <w:lang w:eastAsia="es-CR"/>
        </w:rPr>
      </w:pPr>
      <w:r w:rsidRPr="006639B0">
        <w:rPr>
          <w:rFonts w:ascii="Arial" w:hAnsi="Arial" w:cs="Arial"/>
          <w:b/>
          <w:i/>
          <w:color w:val="111111"/>
          <w:sz w:val="22"/>
          <w:lang w:eastAsia="es-CR"/>
        </w:rPr>
        <w:t xml:space="preserve">En caso de una resolución negativa y que no sea satisfactoria para </w:t>
      </w:r>
      <w:proofErr w:type="spellStart"/>
      <w:r w:rsidRPr="006639B0">
        <w:rPr>
          <w:rFonts w:ascii="Arial" w:hAnsi="Arial" w:cs="Arial"/>
          <w:b/>
          <w:i/>
          <w:color w:val="111111"/>
          <w:sz w:val="22"/>
          <w:lang w:eastAsia="es-CR"/>
        </w:rPr>
        <w:t>el</w:t>
      </w:r>
      <w:proofErr w:type="spellEnd"/>
      <w:r w:rsidRPr="006639B0">
        <w:rPr>
          <w:rFonts w:ascii="Arial" w:hAnsi="Arial" w:cs="Arial"/>
          <w:b/>
          <w:i/>
          <w:color w:val="111111"/>
          <w:sz w:val="22"/>
          <w:lang w:eastAsia="es-CR"/>
        </w:rPr>
        <w:t xml:space="preserve"> o la docente, este podrá acudir ante el Consejo de Escuela, como segunda instancia resolutoria, dentro de los tres días hábiles posteriores a recibir la resolución escrita del director, el cual contará con 15 días naturales para resolver la apelación.</w:t>
      </w:r>
    </w:p>
    <w:p w:rsidR="006639B0" w:rsidRPr="006639B0" w:rsidRDefault="006639B0" w:rsidP="006639B0">
      <w:pPr>
        <w:tabs>
          <w:tab w:val="left" w:pos="8640"/>
        </w:tabs>
        <w:ind w:right="-136"/>
        <w:jc w:val="both"/>
        <w:rPr>
          <w:rFonts w:ascii="Arial" w:hAnsi="Arial" w:cs="Arial"/>
          <w:i/>
          <w:sz w:val="22"/>
        </w:rPr>
      </w:pPr>
    </w:p>
    <w:p w:rsidR="006639B0" w:rsidRPr="006639B0" w:rsidRDefault="006639B0" w:rsidP="006639B0">
      <w:pPr>
        <w:numPr>
          <w:ilvl w:val="0"/>
          <w:numId w:val="19"/>
        </w:numPr>
        <w:tabs>
          <w:tab w:val="left" w:pos="8640"/>
        </w:tabs>
        <w:ind w:right="-136"/>
        <w:jc w:val="both"/>
        <w:rPr>
          <w:rFonts w:ascii="Arial" w:hAnsi="Arial" w:cs="Arial"/>
          <w:i/>
          <w:sz w:val="22"/>
        </w:rPr>
      </w:pPr>
      <w:r w:rsidRPr="006639B0">
        <w:rPr>
          <w:rFonts w:ascii="Arial" w:hAnsi="Arial" w:cs="Arial"/>
          <w:i/>
          <w:sz w:val="22"/>
        </w:rPr>
        <w:t>El Reglamento de Evaluación del Desempeño Académico, en las Normas y Procedimientos de Evaluación Docente, artículo 19, establece:</w:t>
      </w:r>
    </w:p>
    <w:p w:rsidR="006639B0" w:rsidRPr="006639B0" w:rsidRDefault="006639B0" w:rsidP="006639B0">
      <w:pPr>
        <w:tabs>
          <w:tab w:val="left" w:pos="8640"/>
        </w:tabs>
        <w:ind w:right="-136"/>
        <w:jc w:val="both"/>
        <w:rPr>
          <w:rFonts w:ascii="Arial" w:hAnsi="Arial" w:cs="Arial"/>
          <w:b/>
          <w:i/>
          <w:color w:val="111111"/>
          <w:sz w:val="22"/>
          <w:lang w:eastAsia="es-CR"/>
        </w:rPr>
      </w:pPr>
    </w:p>
    <w:p w:rsidR="006639B0" w:rsidRPr="006639B0" w:rsidRDefault="006639B0" w:rsidP="006639B0">
      <w:pPr>
        <w:tabs>
          <w:tab w:val="left" w:pos="8640"/>
        </w:tabs>
        <w:ind w:left="709" w:right="-136"/>
        <w:jc w:val="both"/>
        <w:rPr>
          <w:rFonts w:ascii="Arial" w:hAnsi="Arial" w:cs="Arial"/>
          <w:b/>
          <w:i/>
          <w:color w:val="111111"/>
          <w:sz w:val="22"/>
          <w:lang w:val="es-CR" w:eastAsia="es-CR"/>
        </w:rPr>
      </w:pPr>
      <w:r w:rsidRPr="006639B0">
        <w:rPr>
          <w:rFonts w:ascii="Arial" w:hAnsi="Arial" w:cs="Arial"/>
          <w:b/>
          <w:i/>
          <w:color w:val="111111"/>
          <w:sz w:val="22"/>
          <w:lang w:val="es-CR" w:eastAsia="es-CR"/>
        </w:rPr>
        <w:t>En caso de rechazo del recurso de revocatoria ante el Director, el funcionario podrá apelar la evaluación ante el Consejo de Escuela. Contará con tres días hábiles para presentarla, a partir de la notificación del rechazo. Para hacerlo deberá cumplir con los mismos requerimientos establecidos en los artículos 123 y 126 de la Ley de Administración Pública.”</w:t>
      </w:r>
    </w:p>
    <w:p w:rsidR="006639B0" w:rsidRPr="006639B0" w:rsidRDefault="006639B0" w:rsidP="006639B0">
      <w:pPr>
        <w:tabs>
          <w:tab w:val="left" w:pos="8640"/>
        </w:tabs>
        <w:ind w:right="-136"/>
        <w:jc w:val="both"/>
        <w:rPr>
          <w:rFonts w:ascii="Arial" w:hAnsi="Arial" w:cs="Arial"/>
          <w:lang w:val="es-CR"/>
        </w:rPr>
      </w:pPr>
    </w:p>
    <w:p w:rsidR="006639B0" w:rsidRPr="006639B0" w:rsidRDefault="006639B0" w:rsidP="006639B0">
      <w:pPr>
        <w:spacing w:after="160" w:line="259" w:lineRule="auto"/>
        <w:ind w:left="567" w:right="333"/>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t>CONSIDERANDO QUE:</w:t>
      </w:r>
    </w:p>
    <w:p w:rsidR="006639B0" w:rsidRPr="006639B0" w:rsidRDefault="006639B0" w:rsidP="006639B0">
      <w:pPr>
        <w:numPr>
          <w:ilvl w:val="0"/>
          <w:numId w:val="20"/>
        </w:numPr>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t>Es ampliamente conocida la competencia otorgada en el Estatuto Orgánico del ITCR a los Consejos de Departamento Académico, Consejos de Unidad Descentralizada y Consejos de Área para resolver los recursos de apelación en materia académica que sean presentados por miembros de dicha instancia o dependencia.</w:t>
      </w:r>
    </w:p>
    <w:p w:rsidR="006639B0" w:rsidRPr="006639B0" w:rsidRDefault="006639B0" w:rsidP="006639B0">
      <w:pPr>
        <w:ind w:left="720"/>
        <w:jc w:val="both"/>
        <w:rPr>
          <w:rFonts w:ascii="Arial" w:eastAsia="Calibri" w:hAnsi="Arial" w:cs="Arial"/>
          <w:i/>
          <w:color w:val="000000"/>
          <w:sz w:val="22"/>
          <w:szCs w:val="22"/>
          <w:lang w:val="es-CR" w:eastAsia="es-CR"/>
        </w:rPr>
      </w:pPr>
    </w:p>
    <w:p w:rsidR="006639B0" w:rsidRPr="006639B0" w:rsidRDefault="006639B0" w:rsidP="006639B0">
      <w:pPr>
        <w:numPr>
          <w:ilvl w:val="0"/>
          <w:numId w:val="20"/>
        </w:numPr>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t>A su vez, mediante el Reglamento de Evaluación del Desempeño se ha asignado a estas instancias como responsables de resolver en alzada los recursos de apelación que provengan del proceso de evaluación del desempeño docente.</w:t>
      </w:r>
    </w:p>
    <w:p w:rsidR="006639B0" w:rsidRPr="006639B0" w:rsidRDefault="006639B0" w:rsidP="006639B0">
      <w:pPr>
        <w:ind w:left="708"/>
        <w:rPr>
          <w:rFonts w:ascii="Arial" w:eastAsia="Calibri" w:hAnsi="Arial" w:cs="Arial"/>
          <w:i/>
          <w:color w:val="000000"/>
          <w:sz w:val="22"/>
          <w:szCs w:val="22"/>
          <w:lang w:val="es-CR" w:eastAsia="es-CR"/>
        </w:rPr>
      </w:pPr>
    </w:p>
    <w:p w:rsidR="006639B0" w:rsidRPr="006639B0" w:rsidRDefault="006639B0" w:rsidP="006639B0">
      <w:pPr>
        <w:numPr>
          <w:ilvl w:val="0"/>
          <w:numId w:val="20"/>
        </w:numPr>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t xml:space="preserve">El proceso de evaluación del desempeño forma parte del engranaje propio de la labor administrativa de la gestión de las personas en la organización y su responsabilidad contractual con el Tecnológico de Costa Rica que funge como su empleador, siendo su finalidad primordial la mejora en el desempeño laboral y, por ende, es materia enteramente laboral. </w:t>
      </w:r>
    </w:p>
    <w:p w:rsidR="006639B0" w:rsidRPr="006639B0" w:rsidRDefault="006639B0" w:rsidP="006639B0">
      <w:pPr>
        <w:ind w:left="708"/>
        <w:rPr>
          <w:rFonts w:ascii="Arial" w:eastAsia="Calibri" w:hAnsi="Arial" w:cs="Arial"/>
          <w:i/>
          <w:color w:val="000000"/>
          <w:sz w:val="22"/>
          <w:szCs w:val="22"/>
          <w:lang w:val="es-CR" w:eastAsia="es-CR"/>
        </w:rPr>
      </w:pPr>
    </w:p>
    <w:p w:rsidR="006639B0" w:rsidRPr="006639B0" w:rsidRDefault="006639B0" w:rsidP="006639B0">
      <w:pPr>
        <w:numPr>
          <w:ilvl w:val="0"/>
          <w:numId w:val="20"/>
        </w:numPr>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t>La instancia resolutoria de este tipo de recursos debería ser quien cumpla con el papel organizacional de superior jerárquico en materia administrativa, a quien se le confiere la competencia de resolver los diferentes aspectos en materia laboral.</w:t>
      </w:r>
    </w:p>
    <w:p w:rsidR="006639B0" w:rsidRPr="006639B0" w:rsidRDefault="006639B0" w:rsidP="006639B0">
      <w:pPr>
        <w:ind w:left="708"/>
        <w:rPr>
          <w:rFonts w:ascii="Arial" w:eastAsia="Calibri" w:hAnsi="Arial" w:cs="Arial"/>
          <w:i/>
          <w:color w:val="000000"/>
          <w:sz w:val="22"/>
          <w:szCs w:val="22"/>
          <w:lang w:val="es-CR" w:eastAsia="es-CR"/>
        </w:rPr>
      </w:pPr>
    </w:p>
    <w:p w:rsidR="006639B0" w:rsidRPr="006639B0" w:rsidRDefault="006639B0" w:rsidP="006639B0">
      <w:pPr>
        <w:numPr>
          <w:ilvl w:val="0"/>
          <w:numId w:val="20"/>
        </w:numPr>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lastRenderedPageBreak/>
        <w:t>En el Instituto Tecnológico de Costa Rica, tal como lo indica el Estatuto Orgánico del ITCR. el Rector es quien agota la vía administrativa en materia laboral, por lo que las resoluciones de los recursos de apelación en esta materia deberían ser resueltos por quienes se encuentran en línea jerárquica con la Rectoría.</w:t>
      </w:r>
    </w:p>
    <w:p w:rsidR="006639B0" w:rsidRPr="006639B0" w:rsidRDefault="006639B0" w:rsidP="006639B0">
      <w:pPr>
        <w:ind w:left="708"/>
        <w:rPr>
          <w:rFonts w:ascii="Arial" w:eastAsia="Calibri" w:hAnsi="Arial" w:cs="Arial"/>
          <w:i/>
          <w:color w:val="000000"/>
          <w:sz w:val="22"/>
          <w:szCs w:val="22"/>
          <w:lang w:val="es-CR" w:eastAsia="es-CR"/>
        </w:rPr>
      </w:pPr>
    </w:p>
    <w:p w:rsidR="006639B0" w:rsidRPr="006639B0" w:rsidRDefault="006639B0" w:rsidP="006639B0">
      <w:pPr>
        <w:numPr>
          <w:ilvl w:val="0"/>
          <w:numId w:val="20"/>
        </w:numPr>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t>De conformidad con lo anterior, el Vicerrector de Docencia es quien cumple con lo dispuesto para resolver los recursos de apelación presentados sobre este tipo de procesos.</w:t>
      </w:r>
    </w:p>
    <w:p w:rsidR="006639B0" w:rsidRPr="006639B0" w:rsidRDefault="006639B0" w:rsidP="006639B0">
      <w:pPr>
        <w:ind w:left="708"/>
        <w:rPr>
          <w:rFonts w:ascii="Arial" w:hAnsi="Arial" w:cs="Arial"/>
          <w:i/>
        </w:rPr>
      </w:pPr>
    </w:p>
    <w:p w:rsidR="006639B0" w:rsidRPr="006639B0" w:rsidRDefault="006639B0" w:rsidP="006639B0">
      <w:pPr>
        <w:spacing w:after="160" w:line="259" w:lineRule="auto"/>
        <w:ind w:left="567" w:right="333"/>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t>POR TANTO:</w:t>
      </w:r>
    </w:p>
    <w:p w:rsidR="006639B0" w:rsidRPr="006639B0" w:rsidRDefault="006639B0" w:rsidP="006639B0">
      <w:pPr>
        <w:spacing w:after="160" w:line="259" w:lineRule="auto"/>
        <w:ind w:left="567" w:right="333"/>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t>Se solicita atentamente la respectiva modificación normativa de forma que los recursos de apelación resultantes del proceso de evaluación del desempeño desde la perspectiva del estudiante y el director de escuela sean resueltos por quien funja como Vicerrector de Docencia, tal como se describe a continuación:</w:t>
      </w:r>
    </w:p>
    <w:tbl>
      <w:tblPr>
        <w:tblStyle w:val="Tablaconcuadrcula"/>
        <w:tblW w:w="0" w:type="auto"/>
        <w:tblLook w:val="04A0" w:firstRow="1" w:lastRow="0" w:firstColumn="1" w:lastColumn="0" w:noHBand="0" w:noVBand="1"/>
      </w:tblPr>
      <w:tblGrid>
        <w:gridCol w:w="2405"/>
        <w:gridCol w:w="3219"/>
        <w:gridCol w:w="2925"/>
      </w:tblGrid>
      <w:tr w:rsidR="006639B0" w:rsidRPr="006639B0" w:rsidTr="00564204">
        <w:tc>
          <w:tcPr>
            <w:tcW w:w="2405" w:type="dxa"/>
          </w:tcPr>
          <w:p w:rsidR="006639B0" w:rsidRPr="006639B0" w:rsidRDefault="006639B0" w:rsidP="006639B0">
            <w:pPr>
              <w:jc w:val="center"/>
              <w:rPr>
                <w:rFonts w:ascii="Arial" w:hAnsi="Arial" w:cs="Arial"/>
                <w:b/>
                <w:i/>
                <w:sz w:val="20"/>
              </w:rPr>
            </w:pPr>
            <w:r w:rsidRPr="006639B0">
              <w:rPr>
                <w:rFonts w:ascii="Arial" w:hAnsi="Arial" w:cs="Arial"/>
                <w:b/>
                <w:i/>
                <w:sz w:val="20"/>
              </w:rPr>
              <w:t>ARTÍCULO</w:t>
            </w:r>
          </w:p>
        </w:tc>
        <w:tc>
          <w:tcPr>
            <w:tcW w:w="3219" w:type="dxa"/>
          </w:tcPr>
          <w:p w:rsidR="006639B0" w:rsidRPr="006639B0" w:rsidRDefault="006639B0" w:rsidP="006639B0">
            <w:pPr>
              <w:jc w:val="center"/>
              <w:rPr>
                <w:rFonts w:ascii="Arial" w:hAnsi="Arial" w:cs="Arial"/>
                <w:b/>
                <w:i/>
                <w:sz w:val="20"/>
              </w:rPr>
            </w:pPr>
            <w:r w:rsidRPr="006639B0">
              <w:rPr>
                <w:rFonts w:ascii="Arial" w:hAnsi="Arial" w:cs="Arial"/>
                <w:b/>
                <w:i/>
                <w:sz w:val="20"/>
              </w:rPr>
              <w:t>TEXTO ACTUAL</w:t>
            </w:r>
          </w:p>
        </w:tc>
        <w:tc>
          <w:tcPr>
            <w:tcW w:w="2925" w:type="dxa"/>
          </w:tcPr>
          <w:p w:rsidR="006639B0" w:rsidRPr="006639B0" w:rsidRDefault="006639B0" w:rsidP="006639B0">
            <w:pPr>
              <w:jc w:val="center"/>
              <w:rPr>
                <w:rFonts w:ascii="Arial" w:hAnsi="Arial" w:cs="Arial"/>
                <w:b/>
                <w:i/>
                <w:sz w:val="20"/>
              </w:rPr>
            </w:pPr>
            <w:r w:rsidRPr="006639B0">
              <w:rPr>
                <w:rFonts w:ascii="Arial" w:hAnsi="Arial" w:cs="Arial"/>
                <w:b/>
                <w:i/>
                <w:sz w:val="20"/>
              </w:rPr>
              <w:t>TEXTO PROPUESTO</w:t>
            </w:r>
          </w:p>
        </w:tc>
      </w:tr>
      <w:tr w:rsidR="006639B0" w:rsidRPr="006639B0" w:rsidTr="00564204">
        <w:tc>
          <w:tcPr>
            <w:tcW w:w="2405" w:type="dxa"/>
          </w:tcPr>
          <w:p w:rsidR="006639B0" w:rsidRPr="006639B0" w:rsidRDefault="006639B0" w:rsidP="006639B0">
            <w:pPr>
              <w:tabs>
                <w:tab w:val="left" w:pos="8640"/>
              </w:tabs>
              <w:ind w:right="36"/>
              <w:jc w:val="both"/>
              <w:rPr>
                <w:rFonts w:ascii="Arial" w:hAnsi="Arial" w:cs="Arial"/>
                <w:i/>
                <w:sz w:val="20"/>
              </w:rPr>
            </w:pPr>
          </w:p>
          <w:p w:rsidR="006639B0" w:rsidRPr="006639B0" w:rsidRDefault="006639B0" w:rsidP="006639B0">
            <w:pPr>
              <w:tabs>
                <w:tab w:val="left" w:pos="8640"/>
              </w:tabs>
              <w:ind w:right="36"/>
              <w:jc w:val="both"/>
              <w:rPr>
                <w:rFonts w:ascii="Arial" w:hAnsi="Arial" w:cs="Arial"/>
                <w:i/>
                <w:sz w:val="20"/>
              </w:rPr>
            </w:pPr>
            <w:r w:rsidRPr="006639B0">
              <w:rPr>
                <w:rFonts w:ascii="Arial" w:hAnsi="Arial" w:cs="Arial"/>
                <w:i/>
                <w:sz w:val="20"/>
              </w:rPr>
              <w:t xml:space="preserve">Reglamento de Evaluación del Desempeño Académico, capítulo 7. Recursos de Revocatoria Y Apelación para la Evaluación contra la Evaluación del Superior Jerárquico, artículo 26. </w:t>
            </w:r>
          </w:p>
        </w:tc>
        <w:tc>
          <w:tcPr>
            <w:tcW w:w="3219" w:type="dxa"/>
          </w:tcPr>
          <w:p w:rsidR="006639B0" w:rsidRPr="006639B0" w:rsidRDefault="006639B0" w:rsidP="006639B0">
            <w:pPr>
              <w:tabs>
                <w:tab w:val="left" w:pos="8640"/>
              </w:tabs>
              <w:ind w:right="-136"/>
              <w:jc w:val="both"/>
              <w:rPr>
                <w:rFonts w:ascii="Arial" w:hAnsi="Arial" w:cs="Arial"/>
                <w:i/>
                <w:color w:val="111111"/>
                <w:sz w:val="20"/>
                <w:lang w:eastAsia="es-CR"/>
              </w:rPr>
            </w:pPr>
          </w:p>
          <w:p w:rsidR="006639B0" w:rsidRPr="006639B0" w:rsidRDefault="006639B0" w:rsidP="006639B0">
            <w:pPr>
              <w:tabs>
                <w:tab w:val="left" w:pos="8640"/>
              </w:tabs>
              <w:jc w:val="both"/>
              <w:rPr>
                <w:rFonts w:ascii="Arial" w:hAnsi="Arial" w:cs="Arial"/>
                <w:i/>
                <w:color w:val="111111"/>
                <w:sz w:val="20"/>
                <w:lang w:eastAsia="es-CR"/>
              </w:rPr>
            </w:pPr>
            <w:r w:rsidRPr="006639B0">
              <w:rPr>
                <w:rFonts w:ascii="Arial" w:hAnsi="Arial" w:cs="Arial"/>
                <w:i/>
                <w:color w:val="111111"/>
                <w:sz w:val="20"/>
                <w:lang w:eastAsia="es-CR"/>
              </w:rPr>
              <w:t xml:space="preserve">En caso de una resolución negativa y que no sea satisfactoria para </w:t>
            </w:r>
            <w:proofErr w:type="spellStart"/>
            <w:r w:rsidRPr="006639B0">
              <w:rPr>
                <w:rFonts w:ascii="Arial" w:hAnsi="Arial" w:cs="Arial"/>
                <w:i/>
                <w:color w:val="111111"/>
                <w:sz w:val="20"/>
                <w:lang w:eastAsia="es-CR"/>
              </w:rPr>
              <w:t>el</w:t>
            </w:r>
            <w:proofErr w:type="spellEnd"/>
            <w:r w:rsidRPr="006639B0">
              <w:rPr>
                <w:rFonts w:ascii="Arial" w:hAnsi="Arial" w:cs="Arial"/>
                <w:i/>
                <w:color w:val="111111"/>
                <w:sz w:val="20"/>
                <w:lang w:eastAsia="es-CR"/>
              </w:rPr>
              <w:t xml:space="preserve"> o la docente, este podrá acudir ante el Consejo de Escuela, como segunda instancia resolutoria, dentro de los tres días hábiles posteriores a recibir la resolución escrita del director, el cual contará con 15 días naturales para resolver la apelación.</w:t>
            </w:r>
          </w:p>
          <w:p w:rsidR="006639B0" w:rsidRPr="006639B0" w:rsidRDefault="006639B0" w:rsidP="006639B0">
            <w:pPr>
              <w:rPr>
                <w:rFonts w:ascii="Arial" w:hAnsi="Arial" w:cs="Arial"/>
                <w:i/>
                <w:sz w:val="20"/>
              </w:rPr>
            </w:pPr>
          </w:p>
        </w:tc>
        <w:tc>
          <w:tcPr>
            <w:tcW w:w="2925" w:type="dxa"/>
          </w:tcPr>
          <w:p w:rsidR="006639B0" w:rsidRPr="006639B0" w:rsidRDefault="006639B0" w:rsidP="006639B0">
            <w:pPr>
              <w:tabs>
                <w:tab w:val="left" w:pos="8640"/>
              </w:tabs>
              <w:ind w:right="-136"/>
              <w:jc w:val="both"/>
              <w:rPr>
                <w:rFonts w:ascii="Arial" w:hAnsi="Arial" w:cs="Arial"/>
                <w:i/>
                <w:color w:val="111111"/>
                <w:sz w:val="20"/>
                <w:lang w:eastAsia="es-CR"/>
              </w:rPr>
            </w:pPr>
          </w:p>
          <w:p w:rsidR="006639B0" w:rsidRPr="006639B0" w:rsidRDefault="006639B0" w:rsidP="006639B0">
            <w:pPr>
              <w:tabs>
                <w:tab w:val="left" w:pos="8640"/>
              </w:tabs>
              <w:jc w:val="both"/>
              <w:rPr>
                <w:rFonts w:ascii="Arial" w:hAnsi="Arial" w:cs="Arial"/>
                <w:i/>
                <w:color w:val="111111"/>
                <w:sz w:val="20"/>
                <w:lang w:eastAsia="es-CR"/>
              </w:rPr>
            </w:pPr>
            <w:r w:rsidRPr="006639B0">
              <w:rPr>
                <w:rFonts w:ascii="Arial" w:hAnsi="Arial" w:cs="Arial"/>
                <w:i/>
                <w:color w:val="111111"/>
                <w:sz w:val="20"/>
                <w:lang w:eastAsia="es-CR"/>
              </w:rPr>
              <w:t xml:space="preserve">En caso de una resolución negativa y que no sea satisfactoria para </w:t>
            </w:r>
            <w:proofErr w:type="spellStart"/>
            <w:r w:rsidRPr="006639B0">
              <w:rPr>
                <w:rFonts w:ascii="Arial" w:hAnsi="Arial" w:cs="Arial"/>
                <w:i/>
                <w:color w:val="111111"/>
                <w:sz w:val="20"/>
                <w:lang w:eastAsia="es-CR"/>
              </w:rPr>
              <w:t>el</w:t>
            </w:r>
            <w:proofErr w:type="spellEnd"/>
            <w:r w:rsidRPr="006639B0">
              <w:rPr>
                <w:rFonts w:ascii="Arial" w:hAnsi="Arial" w:cs="Arial"/>
                <w:i/>
                <w:color w:val="111111"/>
                <w:sz w:val="20"/>
                <w:lang w:eastAsia="es-CR"/>
              </w:rPr>
              <w:t xml:space="preserve"> o la docente, podrá acudir ante el Vicerrector de Docencia, como segunda instancia resolutoria, dentro de los tres días hábiles posteriores a recibir la resolución escrita del director, el cual contará con 15 días naturales para resolver la apelación.</w:t>
            </w:r>
          </w:p>
        </w:tc>
      </w:tr>
      <w:tr w:rsidR="006639B0" w:rsidRPr="006639B0" w:rsidTr="00564204">
        <w:tc>
          <w:tcPr>
            <w:tcW w:w="2405" w:type="dxa"/>
          </w:tcPr>
          <w:p w:rsidR="006639B0" w:rsidRPr="006639B0" w:rsidRDefault="006639B0" w:rsidP="006639B0">
            <w:pPr>
              <w:jc w:val="both"/>
              <w:rPr>
                <w:rFonts w:ascii="Arial" w:hAnsi="Arial" w:cs="Arial"/>
                <w:i/>
                <w:sz w:val="20"/>
              </w:rPr>
            </w:pPr>
          </w:p>
          <w:p w:rsidR="006639B0" w:rsidRPr="006639B0" w:rsidRDefault="006639B0" w:rsidP="006639B0">
            <w:pPr>
              <w:jc w:val="both"/>
              <w:rPr>
                <w:rFonts w:ascii="Arial" w:hAnsi="Arial" w:cs="Arial"/>
                <w:i/>
                <w:sz w:val="20"/>
              </w:rPr>
            </w:pPr>
            <w:r w:rsidRPr="006639B0">
              <w:rPr>
                <w:rFonts w:ascii="Arial" w:hAnsi="Arial" w:cs="Arial"/>
                <w:i/>
                <w:sz w:val="20"/>
              </w:rPr>
              <w:t>Reglamento de Evaluación del Desempeño Académico, Normas y Procedimientos de Evaluación Docente, artículo 19.</w:t>
            </w:r>
          </w:p>
        </w:tc>
        <w:tc>
          <w:tcPr>
            <w:tcW w:w="3219" w:type="dxa"/>
          </w:tcPr>
          <w:p w:rsidR="006639B0" w:rsidRPr="006639B0" w:rsidRDefault="006639B0" w:rsidP="006639B0">
            <w:pPr>
              <w:tabs>
                <w:tab w:val="left" w:pos="8640"/>
              </w:tabs>
              <w:jc w:val="both"/>
              <w:rPr>
                <w:rFonts w:ascii="Arial" w:hAnsi="Arial" w:cs="Arial"/>
                <w:i/>
                <w:color w:val="111111"/>
                <w:sz w:val="20"/>
                <w:lang w:eastAsia="es-CR"/>
              </w:rPr>
            </w:pPr>
          </w:p>
          <w:p w:rsidR="006639B0" w:rsidRPr="006639B0" w:rsidRDefault="006639B0" w:rsidP="006639B0">
            <w:pPr>
              <w:tabs>
                <w:tab w:val="left" w:pos="8640"/>
              </w:tabs>
              <w:jc w:val="both"/>
              <w:rPr>
                <w:rFonts w:ascii="Arial" w:hAnsi="Arial" w:cs="Arial"/>
                <w:i/>
                <w:color w:val="111111"/>
                <w:sz w:val="20"/>
                <w:lang w:eastAsia="es-CR"/>
              </w:rPr>
            </w:pPr>
            <w:r w:rsidRPr="006639B0">
              <w:rPr>
                <w:rFonts w:ascii="Arial" w:hAnsi="Arial" w:cs="Arial"/>
                <w:i/>
                <w:color w:val="111111"/>
                <w:sz w:val="20"/>
                <w:lang w:eastAsia="es-CR"/>
              </w:rPr>
              <w:t>En caso de rechazo del recurso de revocatoria ante el Director, el funcionario podrá apelar la evaluación ante el Consejo de Escuela. Contará con tres días hábiles para presentarla, a partir de la notificación del rechazo. Para hacerlo deberá cumplir con los mismos requerimientos establecidos en los artículos 123 y 126 de la Ley de Administración Pública.</w:t>
            </w:r>
          </w:p>
          <w:p w:rsidR="006639B0" w:rsidRPr="006639B0" w:rsidRDefault="006639B0" w:rsidP="006639B0">
            <w:pPr>
              <w:rPr>
                <w:rFonts w:ascii="Arial" w:hAnsi="Arial" w:cs="Arial"/>
                <w:i/>
                <w:sz w:val="20"/>
              </w:rPr>
            </w:pPr>
          </w:p>
        </w:tc>
        <w:tc>
          <w:tcPr>
            <w:tcW w:w="2925" w:type="dxa"/>
          </w:tcPr>
          <w:p w:rsidR="006639B0" w:rsidRPr="006639B0" w:rsidRDefault="006639B0" w:rsidP="006639B0">
            <w:pPr>
              <w:tabs>
                <w:tab w:val="left" w:pos="8640"/>
              </w:tabs>
              <w:jc w:val="both"/>
              <w:rPr>
                <w:rFonts w:ascii="Arial" w:hAnsi="Arial" w:cs="Arial"/>
                <w:i/>
                <w:color w:val="111111"/>
                <w:sz w:val="20"/>
                <w:lang w:eastAsia="es-CR"/>
              </w:rPr>
            </w:pPr>
          </w:p>
          <w:p w:rsidR="006639B0" w:rsidRPr="006639B0" w:rsidRDefault="006639B0" w:rsidP="006639B0">
            <w:pPr>
              <w:tabs>
                <w:tab w:val="left" w:pos="8640"/>
              </w:tabs>
              <w:jc w:val="both"/>
              <w:rPr>
                <w:rFonts w:ascii="Arial" w:hAnsi="Arial" w:cs="Arial"/>
                <w:i/>
                <w:color w:val="111111"/>
                <w:sz w:val="20"/>
                <w:lang w:eastAsia="es-CR"/>
              </w:rPr>
            </w:pPr>
            <w:r w:rsidRPr="006639B0">
              <w:rPr>
                <w:rFonts w:ascii="Arial" w:hAnsi="Arial" w:cs="Arial"/>
                <w:i/>
                <w:color w:val="111111"/>
                <w:sz w:val="20"/>
                <w:lang w:eastAsia="es-CR"/>
              </w:rPr>
              <w:t>En caso de rechazo del recurso de revocatoria ante el Director, el funcionario podrá apelar la evaluación ante el Vicerrector de Docencia. Contará con tres días hábiles para presentarla, a partir de la notificación del rechazo. Para hacerlo deberá cumplir con los mismos requerimientos establecidos en los artículos 123 y 126 de la Ley de Administración Pública.</w:t>
            </w:r>
          </w:p>
          <w:p w:rsidR="006639B0" w:rsidRPr="006639B0" w:rsidRDefault="006639B0" w:rsidP="006639B0">
            <w:pPr>
              <w:rPr>
                <w:rFonts w:ascii="Arial" w:hAnsi="Arial" w:cs="Arial"/>
                <w:i/>
                <w:sz w:val="20"/>
              </w:rPr>
            </w:pPr>
          </w:p>
        </w:tc>
      </w:tr>
    </w:tbl>
    <w:p w:rsidR="006639B0" w:rsidRPr="006639B0" w:rsidRDefault="006639B0" w:rsidP="006639B0">
      <w:pPr>
        <w:rPr>
          <w:rFonts w:ascii="Arial" w:hAnsi="Arial" w:cs="Arial"/>
          <w:i/>
        </w:rPr>
      </w:pPr>
    </w:p>
    <w:p w:rsidR="006639B0" w:rsidRPr="006639B0" w:rsidRDefault="006639B0" w:rsidP="006639B0">
      <w:pPr>
        <w:spacing w:after="160" w:line="259" w:lineRule="auto"/>
        <w:ind w:left="567" w:right="333"/>
        <w:jc w:val="both"/>
        <w:rPr>
          <w:rFonts w:ascii="Arial" w:eastAsia="Calibri" w:hAnsi="Arial" w:cs="Arial"/>
          <w:i/>
          <w:color w:val="000000"/>
          <w:sz w:val="22"/>
          <w:szCs w:val="22"/>
          <w:lang w:val="es-CR" w:eastAsia="es-CR"/>
        </w:rPr>
      </w:pPr>
      <w:r w:rsidRPr="006639B0">
        <w:rPr>
          <w:rFonts w:ascii="Arial" w:eastAsia="Calibri" w:hAnsi="Arial" w:cs="Arial"/>
          <w:i/>
          <w:color w:val="000000"/>
          <w:sz w:val="22"/>
          <w:szCs w:val="22"/>
          <w:lang w:val="es-CR" w:eastAsia="es-CR"/>
        </w:rPr>
        <w:t xml:space="preserve">Cualquier consulta al respecto con gusto el MBA. Harold Blanco Leitón le atenderá en el correo electrónico </w:t>
      </w:r>
      <w:hyperlink r:id="rId8" w:history="1">
        <w:r w:rsidRPr="006639B0">
          <w:rPr>
            <w:rFonts w:ascii="Arial" w:eastAsia="Calibri" w:hAnsi="Arial" w:cs="Arial"/>
            <w:i/>
            <w:color w:val="000000"/>
            <w:sz w:val="22"/>
            <w:szCs w:val="22"/>
            <w:lang w:val="es-CR" w:eastAsia="es-CR"/>
          </w:rPr>
          <w:t>hblanco@itcr.ac.cr</w:t>
        </w:r>
      </w:hyperlink>
      <w:r w:rsidRPr="006639B0">
        <w:rPr>
          <w:rFonts w:ascii="Arial" w:eastAsia="Calibri" w:hAnsi="Arial" w:cs="Arial"/>
          <w:i/>
          <w:color w:val="000000"/>
          <w:sz w:val="22"/>
          <w:szCs w:val="22"/>
          <w:lang w:val="es-CR" w:eastAsia="es-CR"/>
        </w:rPr>
        <w:t>.”</w:t>
      </w:r>
    </w:p>
    <w:p w:rsidR="006639B0" w:rsidRPr="006639B0" w:rsidRDefault="006639B0" w:rsidP="006639B0">
      <w:pPr>
        <w:numPr>
          <w:ilvl w:val="0"/>
          <w:numId w:val="17"/>
        </w:numPr>
        <w:ind w:left="360"/>
        <w:jc w:val="both"/>
        <w:rPr>
          <w:rFonts w:ascii="Arial" w:hAnsi="Arial" w:cs="Arial"/>
          <w:lang w:val="es-CR"/>
        </w:rPr>
      </w:pPr>
      <w:r w:rsidRPr="006639B0">
        <w:rPr>
          <w:rFonts w:ascii="Arial" w:hAnsi="Arial" w:cs="Arial"/>
          <w:lang w:val="es-CR"/>
        </w:rPr>
        <w:t xml:space="preserve">La Comisión de Asuntos Académicos y Estudiantiles, en la reunión No. 602-18, celebrada el 21 de setiembre del presente año, en el apartado de correspondencia recibe el oficio RH-919-18 y en la reunión No. 603-18, celebrada el 28 de setiembre del presente año, </w:t>
      </w:r>
      <w:bookmarkStart w:id="1" w:name="_Toc272225920"/>
      <w:bookmarkStart w:id="2" w:name="_Toc272238511"/>
      <w:bookmarkStart w:id="3" w:name="_Toc274319984"/>
      <w:r w:rsidRPr="006639B0">
        <w:rPr>
          <w:rFonts w:ascii="Arial" w:hAnsi="Arial" w:cs="Arial"/>
          <w:lang w:val="es-CR"/>
        </w:rPr>
        <w:t>revisó la propuesta del Reglamento, y dispuso elevarla al Pleno, para someterla a consulta a la AFITEC, en apego al Artículo 3. de la Convención Colectiva de Trabajo y sus Reformas, por diez días hábiles y a la Comunidad Institucional por 30 días hábiles.</w:t>
      </w:r>
    </w:p>
    <w:p w:rsidR="006639B0" w:rsidRPr="006639B0" w:rsidRDefault="006639B0" w:rsidP="006639B0">
      <w:pPr>
        <w:ind w:left="360"/>
        <w:jc w:val="both"/>
        <w:rPr>
          <w:rFonts w:ascii="Arial" w:hAnsi="Arial" w:cs="Arial"/>
          <w:lang w:val="es-CR"/>
        </w:rPr>
      </w:pPr>
    </w:p>
    <w:bookmarkEnd w:id="1"/>
    <w:bookmarkEnd w:id="2"/>
    <w:bookmarkEnd w:id="3"/>
    <w:p w:rsidR="006639B0" w:rsidRPr="006639B0" w:rsidRDefault="006639B0" w:rsidP="006639B0">
      <w:pPr>
        <w:jc w:val="both"/>
        <w:rPr>
          <w:rFonts w:ascii="Arial" w:hAnsi="Arial" w:cs="Arial"/>
          <w:b/>
          <w:lang w:val="es-CR"/>
        </w:rPr>
      </w:pPr>
      <w:r w:rsidRPr="006639B0">
        <w:rPr>
          <w:rFonts w:ascii="Arial" w:hAnsi="Arial" w:cs="Arial"/>
          <w:b/>
          <w:lang w:val="es-CR"/>
        </w:rPr>
        <w:t>SE</w:t>
      </w:r>
      <w:r>
        <w:rPr>
          <w:rFonts w:ascii="Arial" w:hAnsi="Arial" w:cs="Arial"/>
          <w:b/>
          <w:lang w:val="es-CR"/>
        </w:rPr>
        <w:t xml:space="preserve"> ACUERDA</w:t>
      </w:r>
      <w:r w:rsidRPr="006639B0">
        <w:rPr>
          <w:rFonts w:ascii="Arial" w:hAnsi="Arial" w:cs="Arial"/>
          <w:b/>
          <w:lang w:val="es-CR"/>
        </w:rPr>
        <w:t>:</w:t>
      </w:r>
    </w:p>
    <w:p w:rsidR="006639B0" w:rsidRPr="006639B0" w:rsidRDefault="006639B0" w:rsidP="006639B0">
      <w:pPr>
        <w:jc w:val="both"/>
        <w:rPr>
          <w:rFonts w:ascii="Arial" w:hAnsi="Arial" w:cs="Arial"/>
          <w:b/>
          <w:lang w:val="es-CR"/>
        </w:rPr>
      </w:pPr>
    </w:p>
    <w:p w:rsidR="006639B0" w:rsidRPr="006639B0" w:rsidRDefault="006639B0" w:rsidP="006639B0">
      <w:pPr>
        <w:numPr>
          <w:ilvl w:val="0"/>
          <w:numId w:val="16"/>
        </w:numPr>
        <w:ind w:left="426" w:hanging="426"/>
        <w:contextualSpacing/>
        <w:jc w:val="both"/>
        <w:rPr>
          <w:rFonts w:ascii="Arial" w:hAnsi="Arial" w:cs="Arial"/>
          <w:lang w:val="es-CR"/>
        </w:rPr>
      </w:pPr>
      <w:r w:rsidRPr="006639B0">
        <w:rPr>
          <w:rFonts w:ascii="Arial" w:hAnsi="Arial" w:cs="Arial"/>
          <w:lang w:val="es-CR"/>
        </w:rPr>
        <w:t>Someter a consulta a la AFITEC,</w:t>
      </w:r>
      <w:r w:rsidRPr="006639B0">
        <w:rPr>
          <w:sz w:val="20"/>
          <w:szCs w:val="20"/>
          <w:lang w:val="es-CR"/>
        </w:rPr>
        <w:t xml:space="preserve"> </w:t>
      </w:r>
      <w:r w:rsidRPr="006639B0">
        <w:rPr>
          <w:rFonts w:ascii="Arial" w:hAnsi="Arial" w:cs="Arial"/>
          <w:lang w:val="es-CR"/>
        </w:rPr>
        <w:t>por un plazo de 10 días hábiles, y a la Comunidad Institucional por un plazo de 30 días hábiles, la propuesta de Modificación al Reglamento de Evaluación del Desempeño Académico del Instituto Tecnológico de Costa Rica, Capítulo 7: Recursos de Revocatoria y Apelación para la Evaluación del Superior Jerárquico, Artículo 26 y Normas y Procedimientos de Evaluación Docente, Capítulo 6: Recursos de revocatoria y apelación para la evaluación docente contra la evaluación de los estudiantes, Artículo 19. para que remitan sus observaciones al Consejo Institucional, según se detalla:</w:t>
      </w:r>
    </w:p>
    <w:p w:rsidR="006639B0" w:rsidRPr="006639B0" w:rsidRDefault="006639B0" w:rsidP="006639B0">
      <w:pPr>
        <w:jc w:val="center"/>
        <w:rPr>
          <w:rFonts w:ascii="Arial" w:hAnsi="Arial" w:cs="Arial"/>
          <w:b/>
          <w:lang w:val="es-CR"/>
        </w:rPr>
      </w:pPr>
    </w:p>
    <w:p w:rsidR="006639B0" w:rsidRPr="006639B0" w:rsidRDefault="006639B0" w:rsidP="006639B0">
      <w:pPr>
        <w:jc w:val="center"/>
        <w:rPr>
          <w:rFonts w:ascii="Arial" w:eastAsia="MS Mincho" w:hAnsi="Arial" w:cs="Arial"/>
          <w:b/>
          <w:caps/>
          <w:lang w:val="es-CR"/>
        </w:rPr>
      </w:pPr>
      <w:r w:rsidRPr="006639B0">
        <w:rPr>
          <w:rFonts w:ascii="Arial" w:eastAsia="MS Mincho" w:hAnsi="Arial" w:cs="Arial"/>
          <w:b/>
          <w:caps/>
          <w:lang w:val="es-CR"/>
        </w:rPr>
        <w:t xml:space="preserve">REGLAMENTO DE EVALUACIÓN del Desempeño Académico </w:t>
      </w:r>
    </w:p>
    <w:p w:rsidR="006639B0" w:rsidRPr="006639B0" w:rsidRDefault="006639B0" w:rsidP="006639B0">
      <w:pPr>
        <w:jc w:val="center"/>
        <w:rPr>
          <w:rFonts w:ascii="Arial" w:eastAsia="MS Mincho" w:hAnsi="Arial" w:cs="Arial"/>
          <w:b/>
          <w:caps/>
          <w:lang w:val="es-CR"/>
        </w:rPr>
      </w:pPr>
      <w:r w:rsidRPr="006639B0">
        <w:rPr>
          <w:rFonts w:ascii="Arial" w:eastAsia="MS Mincho" w:hAnsi="Arial" w:cs="Arial"/>
          <w:b/>
          <w:caps/>
          <w:lang w:val="es-CR"/>
        </w:rPr>
        <w:t>del Instituto Tecnológico de Costa Rica</w:t>
      </w:r>
    </w:p>
    <w:p w:rsidR="006639B0" w:rsidRPr="006639B0" w:rsidRDefault="006639B0" w:rsidP="006639B0">
      <w:pPr>
        <w:jc w:val="both"/>
        <w:rPr>
          <w:rFonts w:ascii="Arial" w:eastAsia="MS Mincho" w:hAnsi="Arial" w:cs="Arial"/>
          <w:b/>
          <w:lang w:val="es-CR"/>
        </w:rPr>
      </w:pPr>
    </w:p>
    <w:p w:rsidR="006639B0" w:rsidRPr="006639B0" w:rsidRDefault="006639B0" w:rsidP="006639B0">
      <w:pPr>
        <w:ind w:left="426"/>
        <w:jc w:val="both"/>
        <w:rPr>
          <w:rFonts w:ascii="Arial" w:eastAsia="MS Mincho" w:hAnsi="Arial" w:cs="Arial"/>
          <w:b/>
          <w:lang w:val="es-CR"/>
        </w:rPr>
      </w:pPr>
      <w:r w:rsidRPr="006639B0">
        <w:rPr>
          <w:rFonts w:ascii="Arial" w:eastAsia="MS Mincho" w:hAnsi="Arial" w:cs="Arial"/>
          <w:b/>
          <w:lang w:val="es-CR"/>
        </w:rPr>
        <w:t>CAPÍTULO 7: RECURSOS DE REVOCATORIA Y APELACIÓN PARA LA EVALUACIÓN CONTRA LA EVALUACIÓN DEL SUPERIOR JERÁRQUICO</w:t>
      </w:r>
    </w:p>
    <w:p w:rsidR="006639B0" w:rsidRPr="006639B0" w:rsidRDefault="006639B0" w:rsidP="006639B0">
      <w:pPr>
        <w:ind w:left="426"/>
        <w:jc w:val="both"/>
        <w:rPr>
          <w:rFonts w:ascii="Arial" w:eastAsia="MS Mincho" w:hAnsi="Arial" w:cs="Arial"/>
          <w:b/>
          <w:lang w:val="es-CR"/>
        </w:rPr>
      </w:pPr>
    </w:p>
    <w:p w:rsidR="006639B0" w:rsidRPr="006639B0" w:rsidRDefault="006639B0" w:rsidP="006639B0">
      <w:pPr>
        <w:ind w:left="426"/>
        <w:jc w:val="both"/>
        <w:rPr>
          <w:rFonts w:ascii="Arial" w:eastAsia="MS Mincho" w:hAnsi="Arial" w:cs="Arial"/>
          <w:b/>
          <w:lang w:val="es-CR"/>
        </w:rPr>
      </w:pPr>
      <w:r w:rsidRPr="006639B0">
        <w:rPr>
          <w:rFonts w:ascii="Arial" w:hAnsi="Arial" w:cs="Arial"/>
          <w:b/>
          <w:lang w:val="es-CR"/>
        </w:rPr>
        <w:t>Artículo 26</w:t>
      </w:r>
    </w:p>
    <w:p w:rsidR="006639B0" w:rsidRPr="006639B0" w:rsidRDefault="006639B0" w:rsidP="006639B0">
      <w:pPr>
        <w:ind w:left="426"/>
        <w:jc w:val="both"/>
        <w:rPr>
          <w:rFonts w:ascii="Arial" w:eastAsia="MS Mincho" w:hAnsi="Arial" w:cs="Arial"/>
          <w:b/>
          <w:lang w:val="es-CR"/>
        </w:rPr>
      </w:pPr>
    </w:p>
    <w:p w:rsidR="006639B0" w:rsidRPr="006639B0" w:rsidRDefault="006639B0" w:rsidP="006639B0">
      <w:pPr>
        <w:ind w:left="426"/>
        <w:jc w:val="both"/>
        <w:rPr>
          <w:rFonts w:ascii="Arial" w:hAnsi="Arial" w:cs="Arial"/>
          <w:lang w:val="es-CR" w:eastAsia="es-CR"/>
        </w:rPr>
      </w:pPr>
      <w:r w:rsidRPr="006639B0">
        <w:rPr>
          <w:rFonts w:ascii="Arial" w:hAnsi="Arial" w:cs="Arial"/>
          <w:lang w:val="es-CR" w:eastAsia="es-CR"/>
        </w:rPr>
        <w:t xml:space="preserve">En caso de una resolución negativa y que no sea satisfactoria para </w:t>
      </w:r>
      <w:proofErr w:type="spellStart"/>
      <w:r w:rsidRPr="006639B0">
        <w:rPr>
          <w:rFonts w:ascii="Arial" w:hAnsi="Arial" w:cs="Arial"/>
          <w:lang w:val="es-CR" w:eastAsia="es-CR"/>
        </w:rPr>
        <w:t>el</w:t>
      </w:r>
      <w:proofErr w:type="spellEnd"/>
      <w:r w:rsidRPr="006639B0">
        <w:rPr>
          <w:rFonts w:ascii="Arial" w:hAnsi="Arial" w:cs="Arial"/>
          <w:lang w:val="es-CR" w:eastAsia="es-CR"/>
        </w:rPr>
        <w:t xml:space="preserve"> o la docente, este podrá acudir ante el </w:t>
      </w:r>
      <w:r w:rsidRPr="006639B0">
        <w:rPr>
          <w:rFonts w:ascii="Arial" w:hAnsi="Arial" w:cs="Arial"/>
          <w:b/>
          <w:lang w:val="es-CR" w:eastAsia="es-CR"/>
        </w:rPr>
        <w:t>Vicerrector respectivo</w:t>
      </w:r>
      <w:r w:rsidRPr="006639B0">
        <w:rPr>
          <w:rFonts w:ascii="Arial" w:hAnsi="Arial" w:cs="Arial"/>
          <w:lang w:val="es-CR" w:eastAsia="es-CR"/>
        </w:rPr>
        <w:t>, como segunda instancia resolutoria, dentro de los tres días hábiles posteriores a recibir la resolución escrita del director, el cual contará con 15 días naturales para resolver la apelación.</w:t>
      </w:r>
    </w:p>
    <w:p w:rsidR="006639B0" w:rsidRPr="006639B0" w:rsidRDefault="006639B0" w:rsidP="006639B0">
      <w:pPr>
        <w:rPr>
          <w:rFonts w:ascii="Arial" w:hAnsi="Arial" w:cs="Arial"/>
          <w:b/>
          <w:sz w:val="22"/>
          <w:szCs w:val="22"/>
          <w:lang w:val="es-CR"/>
        </w:rPr>
      </w:pPr>
    </w:p>
    <w:p w:rsidR="006639B0" w:rsidRPr="006639B0" w:rsidRDefault="006639B0" w:rsidP="006639B0">
      <w:pPr>
        <w:ind w:left="426"/>
        <w:jc w:val="both"/>
        <w:rPr>
          <w:rFonts w:ascii="Arial" w:hAnsi="Arial" w:cs="Arial"/>
          <w:b/>
          <w:lang w:val="es-CR"/>
        </w:rPr>
      </w:pPr>
      <w:r w:rsidRPr="006639B0">
        <w:rPr>
          <w:rFonts w:ascii="Arial" w:hAnsi="Arial" w:cs="Arial"/>
          <w:b/>
          <w:lang w:val="es-CR"/>
        </w:rPr>
        <w:t>NORMAS Y PROCEDIMIENTOS DE EVALUACIÓN DOCENTE</w:t>
      </w:r>
    </w:p>
    <w:p w:rsidR="006639B0" w:rsidRPr="006639B0" w:rsidRDefault="006639B0" w:rsidP="006639B0">
      <w:pPr>
        <w:rPr>
          <w:rFonts w:ascii="Arial" w:hAnsi="Arial" w:cs="Arial"/>
          <w:b/>
          <w:sz w:val="22"/>
          <w:szCs w:val="22"/>
          <w:lang w:val="es-CR"/>
        </w:rPr>
      </w:pPr>
    </w:p>
    <w:p w:rsidR="006639B0" w:rsidRPr="006639B0" w:rsidRDefault="006639B0" w:rsidP="006639B0">
      <w:pPr>
        <w:ind w:left="426"/>
        <w:jc w:val="both"/>
        <w:rPr>
          <w:rFonts w:ascii="Arial" w:hAnsi="Arial" w:cs="Arial"/>
          <w:b/>
          <w:lang w:val="es-CR"/>
        </w:rPr>
      </w:pPr>
      <w:r w:rsidRPr="006639B0">
        <w:rPr>
          <w:rFonts w:ascii="Arial" w:hAnsi="Arial" w:cs="Arial"/>
          <w:b/>
          <w:lang w:val="es-CR"/>
        </w:rPr>
        <w:t>Artículo 19</w:t>
      </w:r>
    </w:p>
    <w:p w:rsidR="006639B0" w:rsidRPr="006639B0" w:rsidRDefault="006639B0" w:rsidP="006639B0">
      <w:pPr>
        <w:ind w:left="426"/>
        <w:jc w:val="both"/>
        <w:rPr>
          <w:rFonts w:ascii="Arial" w:hAnsi="Arial" w:cs="Arial"/>
          <w:b/>
          <w:lang w:val="es-CR"/>
        </w:rPr>
      </w:pPr>
    </w:p>
    <w:p w:rsidR="006639B0" w:rsidRPr="006639B0" w:rsidRDefault="006639B0" w:rsidP="006639B0">
      <w:pPr>
        <w:ind w:left="426"/>
        <w:jc w:val="both"/>
        <w:rPr>
          <w:rFonts w:ascii="Arial" w:hAnsi="Arial" w:cs="Arial"/>
          <w:lang w:val="es-CR" w:eastAsia="es-CR"/>
        </w:rPr>
      </w:pPr>
      <w:r w:rsidRPr="006639B0">
        <w:rPr>
          <w:rFonts w:ascii="Arial" w:hAnsi="Arial" w:cs="Arial"/>
          <w:lang w:val="es-CR" w:eastAsia="es-CR"/>
        </w:rPr>
        <w:t xml:space="preserve">En caso de rechazo del recurso de revocatoria ante el Director, el funcionario podrá apelar la evaluación ante el </w:t>
      </w:r>
      <w:r w:rsidRPr="006639B0">
        <w:rPr>
          <w:rFonts w:ascii="Arial" w:hAnsi="Arial" w:cs="Arial"/>
          <w:b/>
          <w:lang w:val="es-CR" w:eastAsia="es-CR"/>
        </w:rPr>
        <w:t>Vicerrector respectivo</w:t>
      </w:r>
      <w:r w:rsidRPr="006639B0">
        <w:rPr>
          <w:rFonts w:ascii="Arial" w:hAnsi="Arial" w:cs="Arial"/>
          <w:lang w:val="es-CR" w:eastAsia="es-CR"/>
        </w:rPr>
        <w:t>. Contará con tres días hábiles para presentarla, a partir de la notificación del rechazo. Para hacerlo deberá cumplir con los mismos requerimientos establecidos en los artículos 123 y 126 de la Ley de Administración Pública.</w:t>
      </w:r>
    </w:p>
    <w:p w:rsidR="00ED1939" w:rsidRDefault="00ED1939" w:rsidP="007742A1">
      <w:pPr>
        <w:jc w:val="both"/>
        <w:rPr>
          <w:rFonts w:ascii="Arial" w:eastAsia="Cambria" w:hAnsi="Arial" w:cs="Arial"/>
          <w:lang w:val="es-ES_tradnl" w:eastAsia="en-US"/>
        </w:rPr>
      </w:pPr>
    </w:p>
    <w:p w:rsidR="00ED1939" w:rsidRPr="005D437B" w:rsidRDefault="00BB6A5E" w:rsidP="006639B0">
      <w:pPr>
        <w:numPr>
          <w:ilvl w:val="0"/>
          <w:numId w:val="16"/>
        </w:numPr>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5D437B" w:rsidRPr="00E8679F" w:rsidRDefault="005D437B" w:rsidP="005D437B">
      <w:pPr>
        <w:ind w:right="-91"/>
        <w:jc w:val="both"/>
        <w:rPr>
          <w:rFonts w:ascii="Arial" w:hAnsi="Arial" w:cs="Arial"/>
        </w:rPr>
      </w:pPr>
    </w:p>
    <w:p w:rsidR="006639B0" w:rsidRPr="006639B0" w:rsidRDefault="006639B0" w:rsidP="006639B0">
      <w:pPr>
        <w:rPr>
          <w:rFonts w:ascii="Arial" w:hAnsi="Arial" w:cs="Arial"/>
          <w:b/>
          <w:sz w:val="22"/>
          <w:szCs w:val="22"/>
          <w:lang w:val="es-CR"/>
        </w:rPr>
      </w:pPr>
      <w:r w:rsidRPr="006639B0">
        <w:rPr>
          <w:rFonts w:ascii="Arial" w:hAnsi="Arial" w:cs="Arial"/>
          <w:b/>
          <w:sz w:val="22"/>
          <w:szCs w:val="22"/>
          <w:lang w:val="es-CR"/>
        </w:rPr>
        <w:t>Palabras Clave:  Consulta- AFITEC- Comunidad Institucional –Reglamento- Evaluación-Desempeño</w:t>
      </w:r>
    </w:p>
    <w:p w:rsidR="00D31E17" w:rsidRPr="00F66865" w:rsidRDefault="00D31E17" w:rsidP="00F66865">
      <w:pPr>
        <w:autoSpaceDE w:val="0"/>
        <w:autoSpaceDN w:val="0"/>
        <w:adjustRightInd w:val="0"/>
        <w:jc w:val="both"/>
        <w:rPr>
          <w:rFonts w:ascii="Arial" w:hAnsi="Arial" w:cs="Arial"/>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5D437B" w:rsidRDefault="005D437B" w:rsidP="00885F0A">
      <w:pPr>
        <w:jc w:val="both"/>
        <w:rPr>
          <w:rFonts w:ascii="Arial" w:eastAsia="Cambria" w:hAnsi="Arial" w:cs="Arial"/>
          <w:b/>
          <w:sz w:val="16"/>
          <w:szCs w:val="16"/>
          <w:lang w:val="es-ES_tradnl" w:eastAsia="en-US"/>
        </w:rPr>
      </w:pP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A95" w:rsidRDefault="00440A95">
      <w:r>
        <w:separator/>
      </w:r>
    </w:p>
  </w:endnote>
  <w:endnote w:type="continuationSeparator" w:id="0">
    <w:p w:rsidR="00440A95" w:rsidRDefault="0044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A95" w:rsidRDefault="00440A95">
      <w:r>
        <w:separator/>
      </w:r>
    </w:p>
  </w:footnote>
  <w:footnote w:type="continuationSeparator" w:id="0">
    <w:p w:rsidR="00440A95" w:rsidRDefault="0044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9A04DD">
      <w:rPr>
        <w:rFonts w:ascii="Arial" w:eastAsia="Cambria" w:hAnsi="Arial" w:cs="Arial"/>
        <w:i/>
        <w:sz w:val="18"/>
        <w:szCs w:val="18"/>
        <w:lang w:val="es-ES_tradnl" w:eastAsia="x-none"/>
      </w:rPr>
      <w:t>9</w:t>
    </w:r>
    <w:r w:rsidR="001845FD">
      <w:rPr>
        <w:rFonts w:ascii="Arial" w:eastAsia="Cambria" w:hAnsi="Arial" w:cs="Arial"/>
        <w:i/>
        <w:sz w:val="18"/>
        <w:szCs w:val="18"/>
        <w:lang w:val="es-ES_tradnl" w:eastAsia="x-none"/>
      </w:rPr>
      <w:t>0</w:t>
    </w:r>
    <w:r w:rsidRPr="00D958BC">
      <w:rPr>
        <w:rFonts w:ascii="Arial" w:eastAsia="Cambria" w:hAnsi="Arial" w:cs="Arial"/>
        <w:i/>
        <w:sz w:val="18"/>
        <w:szCs w:val="18"/>
        <w:lang w:val="es-ES_tradnl" w:eastAsia="x-none"/>
      </w:rPr>
      <w:t>, Artículo</w:t>
    </w:r>
    <w:r w:rsidR="006639B0">
      <w:rPr>
        <w:rFonts w:ascii="Arial" w:eastAsia="Cambria" w:hAnsi="Arial" w:cs="Arial"/>
        <w:i/>
        <w:sz w:val="18"/>
        <w:szCs w:val="18"/>
        <w:lang w:val="es-ES_tradnl" w:eastAsia="x-none"/>
      </w:rPr>
      <w:t xml:space="preserve"> 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845FD">
      <w:rPr>
        <w:rFonts w:ascii="Arial" w:eastAsia="Cambria" w:hAnsi="Arial" w:cs="Arial"/>
        <w:i/>
        <w:sz w:val="18"/>
        <w:szCs w:val="18"/>
        <w:lang w:val="es-ES_tradnl" w:eastAsia="x-none"/>
      </w:rPr>
      <w:t>04</w:t>
    </w:r>
    <w:r w:rsidR="00D76019">
      <w:rPr>
        <w:rFonts w:ascii="Arial" w:eastAsia="Cambria" w:hAnsi="Arial" w:cs="Arial"/>
        <w:i/>
        <w:sz w:val="18"/>
        <w:szCs w:val="18"/>
        <w:lang w:val="es-ES_tradnl" w:eastAsia="x-none"/>
      </w:rPr>
      <w:t xml:space="preserve"> de </w:t>
    </w:r>
    <w:r w:rsidR="001845FD">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C3ECC">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210288"/>
    <w:multiLevelType w:val="hybridMultilevel"/>
    <w:tmpl w:val="576EAE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2D07A1"/>
    <w:multiLevelType w:val="hybridMultilevel"/>
    <w:tmpl w:val="576EAE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BCF621B"/>
    <w:multiLevelType w:val="hybridMultilevel"/>
    <w:tmpl w:val="FAA2BF12"/>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2CCA0EA8"/>
    <w:multiLevelType w:val="hybridMultilevel"/>
    <w:tmpl w:val="93522D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6"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112ED6"/>
    <w:multiLevelType w:val="hybridMultilevel"/>
    <w:tmpl w:val="099C0748"/>
    <w:lvl w:ilvl="0" w:tplc="7DAA7A8C">
      <w:start w:val="1"/>
      <w:numFmt w:val="lowerLetter"/>
      <w:lvlText w:val="%1."/>
      <w:lvlJc w:val="left"/>
      <w:pPr>
        <w:ind w:left="644" w:hanging="360"/>
      </w:pPr>
      <w:rPr>
        <w:rFonts w:hint="default"/>
        <w:b/>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28F754C"/>
    <w:multiLevelType w:val="hybridMultilevel"/>
    <w:tmpl w:val="66C29478"/>
    <w:lvl w:ilvl="0" w:tplc="53F07394">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16F2F43"/>
    <w:multiLevelType w:val="hybridMultilevel"/>
    <w:tmpl w:val="27FEAA32"/>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953752E"/>
    <w:multiLevelType w:val="hybridMultilevel"/>
    <w:tmpl w:val="4382622A"/>
    <w:lvl w:ilvl="0" w:tplc="464C4538">
      <w:start w:val="1"/>
      <w:numFmt w:val="decimal"/>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39148E1"/>
    <w:multiLevelType w:val="hybridMultilevel"/>
    <w:tmpl w:val="099C0748"/>
    <w:lvl w:ilvl="0" w:tplc="7DAA7A8C">
      <w:start w:val="1"/>
      <w:numFmt w:val="lowerLetter"/>
      <w:lvlText w:val="%1."/>
      <w:lvlJc w:val="left"/>
      <w:pPr>
        <w:ind w:left="644" w:hanging="360"/>
      </w:pPr>
      <w:rPr>
        <w:rFonts w:hint="default"/>
        <w:b/>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4DA320A"/>
    <w:multiLevelType w:val="hybridMultilevel"/>
    <w:tmpl w:val="77FEED84"/>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8"/>
  </w:num>
  <w:num w:numId="3">
    <w:abstractNumId w:val="13"/>
  </w:num>
  <w:num w:numId="4">
    <w:abstractNumId w:val="19"/>
  </w:num>
  <w:num w:numId="5">
    <w:abstractNumId w:val="6"/>
  </w:num>
  <w:num w:numId="6">
    <w:abstractNumId w:val="5"/>
  </w:num>
  <w:num w:numId="7">
    <w:abstractNumId w:val="15"/>
  </w:num>
  <w:num w:numId="8">
    <w:abstractNumId w:val="7"/>
  </w:num>
  <w:num w:numId="9">
    <w:abstractNumId w:val="8"/>
  </w:num>
  <w:num w:numId="10">
    <w:abstractNumId w:val="14"/>
  </w:num>
  <w:num w:numId="11">
    <w:abstractNumId w:val="9"/>
  </w:num>
  <w:num w:numId="12">
    <w:abstractNumId w:val="16"/>
  </w:num>
  <w:num w:numId="13">
    <w:abstractNumId w:val="10"/>
  </w:num>
  <w:num w:numId="14">
    <w:abstractNumId w:val="3"/>
  </w:num>
  <w:num w:numId="15">
    <w:abstractNumId w:val="17"/>
  </w:num>
  <w:num w:numId="16">
    <w:abstractNumId w:val="11"/>
  </w:num>
  <w:num w:numId="17">
    <w:abstractNumId w:val="12"/>
  </w:num>
  <w:num w:numId="18">
    <w:abstractNumId w:val="4"/>
  </w:num>
  <w:num w:numId="19">
    <w:abstractNumId w:val="1"/>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97FE5"/>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45FD"/>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5B2E"/>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0A95"/>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437B"/>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39B0"/>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5A5A"/>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04D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3ECC"/>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C765E"/>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2CAF"/>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6865"/>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BD414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lanco@itcr.ac.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90ED-3129-4DF7-9657-477895F8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1878</Words>
  <Characters>10394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58</cp:revision>
  <cp:lastPrinted>2018-09-25T19:58:00Z</cp:lastPrinted>
  <dcterms:created xsi:type="dcterms:W3CDTF">2018-05-02T21:37:00Z</dcterms:created>
  <dcterms:modified xsi:type="dcterms:W3CDTF">2018-10-05T13:44:00Z</dcterms:modified>
</cp:coreProperties>
</file>