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96078B">
        <w:rPr>
          <w:rFonts w:ascii="Arial" w:hAnsi="Arial" w:cs="Arial"/>
          <w:b/>
          <w:bCs/>
          <w:iCs/>
          <w:sz w:val="26"/>
          <w:szCs w:val="22"/>
          <w:lang w:val="es-CR"/>
        </w:rPr>
        <w:t>623</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96078B" w:rsidRDefault="0096078B" w:rsidP="00337455">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Ingrid Herrera Jiménez, President</w:t>
            </w:r>
            <w:r w:rsidR="004E113A">
              <w:rPr>
                <w:rFonts w:ascii="Arial" w:eastAsia="Cambria" w:hAnsi="Arial" w:cs="Arial"/>
                <w:sz w:val="22"/>
                <w:szCs w:val="22"/>
                <w:lang w:val="es-ES_tradnl" w:eastAsia="en-US"/>
              </w:rPr>
              <w:t>e</w:t>
            </w:r>
            <w:r>
              <w:rPr>
                <w:rFonts w:ascii="Arial" w:eastAsia="Cambria" w:hAnsi="Arial" w:cs="Arial"/>
                <w:sz w:val="22"/>
                <w:szCs w:val="22"/>
                <w:lang w:val="es-ES_tradnl" w:eastAsia="en-US"/>
              </w:rPr>
              <w:t xml:space="preserve"> Tribunal Institucional Electoral</w:t>
            </w:r>
          </w:p>
          <w:p w:rsidR="004F270B" w:rsidRPr="004F270B" w:rsidRDefault="004F270B" w:rsidP="002A2C01">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2A2C01"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22</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C852DC">
              <w:rPr>
                <w:rFonts w:ascii="Arial" w:eastAsia="Cambria" w:hAnsi="Arial" w:cs="Arial"/>
                <w:b/>
                <w:sz w:val="22"/>
                <w:szCs w:val="22"/>
                <w:lang w:val="es-ES_tradnl" w:eastAsia="en-US"/>
              </w:rPr>
              <w:t>agosto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95F34" w:rsidRDefault="00FF209C" w:rsidP="0096078B">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1C1AB8">
              <w:rPr>
                <w:rFonts w:ascii="Arial" w:eastAsia="Calibri" w:hAnsi="Arial" w:cs="Arial"/>
                <w:b/>
                <w:sz w:val="22"/>
                <w:szCs w:val="22"/>
              </w:rPr>
              <w:t>84</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0C55F1">
              <w:rPr>
                <w:rFonts w:ascii="Arial" w:eastAsia="Calibri" w:hAnsi="Arial" w:cs="Arial"/>
                <w:b/>
                <w:sz w:val="22"/>
                <w:szCs w:val="22"/>
              </w:rPr>
              <w:t>1</w:t>
            </w:r>
            <w:r w:rsidR="0096078B">
              <w:rPr>
                <w:rFonts w:ascii="Arial" w:eastAsia="Calibri" w:hAnsi="Arial" w:cs="Arial"/>
                <w:b/>
                <w:sz w:val="22"/>
                <w:szCs w:val="22"/>
              </w:rPr>
              <w:t>6</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2A2C01">
              <w:rPr>
                <w:rFonts w:ascii="Arial" w:eastAsia="Calibri" w:hAnsi="Arial" w:cs="Arial"/>
                <w:b/>
                <w:sz w:val="22"/>
                <w:szCs w:val="22"/>
              </w:rPr>
              <w:t>22</w:t>
            </w:r>
            <w:r w:rsidR="00C852DC">
              <w:rPr>
                <w:rFonts w:ascii="Arial" w:eastAsia="Calibri" w:hAnsi="Arial" w:cs="Arial"/>
                <w:b/>
                <w:sz w:val="22"/>
                <w:szCs w:val="22"/>
              </w:rPr>
              <w:t xml:space="preserve"> de agosto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2A2C01" w:rsidRPr="002A2C01">
              <w:rPr>
                <w:rFonts w:ascii="Arial" w:eastAsia="Cambria" w:hAnsi="Arial" w:cs="Arial"/>
                <w:b/>
                <w:bCs/>
                <w:sz w:val="22"/>
                <w:szCs w:val="22"/>
                <w:lang w:val="es-CR" w:eastAsia="en-US"/>
              </w:rPr>
              <w:t>Respuesta al oficio TIE-525-2018, consulta sobre la ubicación del Director o de la Directora de la Oficina de Planificación Institucional en el padrón de la Asamblea Institucional Plebiscitaria</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ED1939" w:rsidRDefault="00ED1939" w:rsidP="007742A1">
      <w:pPr>
        <w:jc w:val="both"/>
        <w:rPr>
          <w:rFonts w:ascii="Arial" w:eastAsia="Cambria" w:hAnsi="Arial" w:cs="Arial"/>
          <w:lang w:val="es-ES_tradnl" w:eastAsia="en-US"/>
        </w:rPr>
      </w:pPr>
    </w:p>
    <w:p w:rsidR="0096078B" w:rsidRPr="0096078B" w:rsidRDefault="0096078B" w:rsidP="0096078B">
      <w:pPr>
        <w:jc w:val="both"/>
        <w:rPr>
          <w:rFonts w:ascii="Arial" w:eastAsia="Calibri" w:hAnsi="Arial" w:cs="Arial"/>
          <w:b/>
          <w:bCs/>
          <w:lang w:val="es-CR" w:eastAsia="en-US"/>
        </w:rPr>
      </w:pPr>
      <w:r w:rsidRPr="0096078B">
        <w:rPr>
          <w:rFonts w:ascii="Arial" w:eastAsia="Calibri" w:hAnsi="Arial" w:cs="Arial"/>
          <w:b/>
          <w:bCs/>
          <w:lang w:val="es-CR" w:eastAsia="en-US"/>
        </w:rPr>
        <w:t>RESULTANDO QUE:</w:t>
      </w:r>
    </w:p>
    <w:p w:rsidR="0096078B" w:rsidRPr="0096078B" w:rsidRDefault="0096078B" w:rsidP="0096078B">
      <w:pPr>
        <w:ind w:left="1320" w:hanging="1320"/>
        <w:jc w:val="both"/>
        <w:rPr>
          <w:rFonts w:ascii="Arial" w:hAnsi="Arial" w:cs="Arial"/>
        </w:rPr>
      </w:pPr>
    </w:p>
    <w:p w:rsidR="0096078B" w:rsidRPr="0096078B" w:rsidRDefault="0096078B" w:rsidP="0096078B">
      <w:pPr>
        <w:numPr>
          <w:ilvl w:val="0"/>
          <w:numId w:val="23"/>
        </w:numPr>
        <w:ind w:left="357" w:hanging="357"/>
        <w:jc w:val="both"/>
        <w:rPr>
          <w:rFonts w:ascii="Arial" w:eastAsia="Calibri" w:hAnsi="Arial" w:cs="Arial"/>
          <w:lang w:val="es-CR" w:eastAsia="es-CR"/>
        </w:rPr>
      </w:pPr>
      <w:r w:rsidRPr="0096078B">
        <w:rPr>
          <w:rFonts w:ascii="Arial" w:eastAsia="Calibri" w:hAnsi="Arial" w:cs="Arial"/>
          <w:lang w:val="es-CR" w:eastAsia="es-CR"/>
        </w:rPr>
        <w:t>Mediante el oficio TIE-525-2018, el Tribunal Institucional Electoral “</w:t>
      </w:r>
      <w:r w:rsidRPr="0096078B">
        <w:rPr>
          <w:rFonts w:ascii="Arial" w:hAnsi="Arial" w:cs="Arial"/>
          <w:lang w:val="es-ES_tradnl"/>
        </w:rPr>
        <w:t>solicita interpretación al Consejo Institucional, sobre los alcances de la modificación del Artículo 71 del Estatuto Orgánico, en cuanto al sector en que debe ser ubicado el puesto de la dirección de la Oficina de Planificación Institucional en los padrones institucionales plebiscitarios”.</w:t>
      </w:r>
    </w:p>
    <w:p w:rsidR="0096078B" w:rsidRPr="0096078B" w:rsidRDefault="0096078B" w:rsidP="0096078B">
      <w:pPr>
        <w:jc w:val="both"/>
        <w:rPr>
          <w:rFonts w:ascii="Arial" w:hAnsi="Arial" w:cs="Arial"/>
          <w:sz w:val="20"/>
          <w:szCs w:val="20"/>
          <w:lang w:eastAsia="es-CR"/>
        </w:rPr>
      </w:pPr>
    </w:p>
    <w:p w:rsidR="0096078B" w:rsidRPr="0096078B" w:rsidRDefault="0096078B" w:rsidP="0096078B">
      <w:pPr>
        <w:numPr>
          <w:ilvl w:val="0"/>
          <w:numId w:val="23"/>
        </w:numPr>
        <w:ind w:left="357" w:hanging="357"/>
        <w:jc w:val="both"/>
        <w:rPr>
          <w:rFonts w:ascii="Arial" w:eastAsia="Calibri" w:hAnsi="Arial" w:cs="Arial"/>
          <w:lang w:val="es-CR" w:eastAsia="en-US"/>
        </w:rPr>
      </w:pPr>
      <w:r w:rsidRPr="0096078B">
        <w:rPr>
          <w:rFonts w:ascii="Arial" w:eastAsia="Calibri" w:hAnsi="Arial" w:cs="Arial"/>
          <w:lang w:val="es-CR" w:eastAsia="en-US"/>
        </w:rPr>
        <w:t xml:space="preserve">En la Sesión Ordinaria No. 2652, artículo 10, del </w:t>
      </w:r>
      <w:r w:rsidRPr="0096078B">
        <w:rPr>
          <w:rFonts w:ascii="Arial" w:eastAsia="Arial" w:hAnsi="Arial" w:cs="Arial"/>
        </w:rPr>
        <w:t>11 de marzo del 2010, el Consejo Institucional acordó:</w:t>
      </w:r>
    </w:p>
    <w:p w:rsidR="0096078B" w:rsidRPr="0096078B" w:rsidRDefault="0096078B" w:rsidP="0096078B">
      <w:pPr>
        <w:ind w:left="720"/>
        <w:contextualSpacing/>
        <w:rPr>
          <w:rFonts w:ascii="Arial" w:eastAsia="Calibri" w:hAnsi="Arial" w:cs="Arial"/>
          <w:lang w:val="es-CR" w:eastAsia="en-US"/>
        </w:rPr>
      </w:pPr>
    </w:p>
    <w:p w:rsidR="0096078B" w:rsidRPr="0096078B" w:rsidRDefault="0096078B" w:rsidP="0096078B">
      <w:pPr>
        <w:numPr>
          <w:ilvl w:val="0"/>
          <w:numId w:val="26"/>
        </w:numPr>
        <w:ind w:left="709" w:right="474" w:hanging="283"/>
        <w:contextualSpacing/>
        <w:jc w:val="both"/>
        <w:rPr>
          <w:rFonts w:ascii="Arial" w:eastAsia="Arial" w:hAnsi="Arial" w:cs="Arial"/>
          <w:i/>
          <w:sz w:val="22"/>
          <w:szCs w:val="22"/>
        </w:rPr>
      </w:pPr>
      <w:r w:rsidRPr="0096078B">
        <w:rPr>
          <w:rFonts w:ascii="Arial" w:eastAsia="Arial" w:hAnsi="Arial" w:cs="Arial"/>
          <w:i/>
          <w:sz w:val="22"/>
          <w:szCs w:val="22"/>
        </w:rPr>
        <w:t xml:space="preserve">“Mantener la clasificación de la Oficina de Planificación como un departamento de apoyo a la academia con carácter de oficina asesora </w:t>
      </w:r>
      <w:proofErr w:type="gramStart"/>
      <w:r w:rsidRPr="0096078B">
        <w:rPr>
          <w:rFonts w:ascii="Arial" w:eastAsia="Arial" w:hAnsi="Arial" w:cs="Arial"/>
          <w:i/>
          <w:sz w:val="22"/>
          <w:szCs w:val="22"/>
        </w:rPr>
        <w:t>adscrita  a</w:t>
      </w:r>
      <w:proofErr w:type="gramEnd"/>
      <w:r w:rsidRPr="0096078B">
        <w:rPr>
          <w:rFonts w:ascii="Arial" w:eastAsia="Arial" w:hAnsi="Arial" w:cs="Arial"/>
          <w:i/>
          <w:sz w:val="22"/>
          <w:szCs w:val="22"/>
        </w:rPr>
        <w:t xml:space="preserve"> la rectoría. El nombramiento del director lo hará el rector por cuatro años, con criterios técnicos establecidos </w:t>
      </w:r>
      <w:proofErr w:type="gramStart"/>
      <w:r w:rsidRPr="0096078B">
        <w:rPr>
          <w:rFonts w:ascii="Arial" w:eastAsia="Arial" w:hAnsi="Arial" w:cs="Arial"/>
          <w:i/>
          <w:sz w:val="22"/>
          <w:szCs w:val="22"/>
        </w:rPr>
        <w:t>y  se</w:t>
      </w:r>
      <w:proofErr w:type="gramEnd"/>
      <w:r w:rsidRPr="0096078B">
        <w:rPr>
          <w:rFonts w:ascii="Arial" w:eastAsia="Arial" w:hAnsi="Arial" w:cs="Arial"/>
          <w:i/>
          <w:sz w:val="22"/>
          <w:szCs w:val="22"/>
        </w:rPr>
        <w:t xml:space="preserve"> requerirá la ratificación del Consejo de Planificación. Los criterios técnicos serán incluidos en las Normas de Operación del Consejo de Planificación Institucional. El director de la OPI tendrá rango de vicerrector para asegurar su participación plena en el Consejo de Rectoría”. </w:t>
      </w:r>
    </w:p>
    <w:p w:rsidR="0096078B" w:rsidRPr="0096078B" w:rsidRDefault="0096078B" w:rsidP="0096078B">
      <w:pPr>
        <w:jc w:val="both"/>
        <w:rPr>
          <w:rFonts w:ascii="Arial" w:eastAsia="Calibri" w:hAnsi="Arial" w:cs="Arial"/>
          <w:lang w:eastAsia="en-US"/>
        </w:rPr>
      </w:pPr>
    </w:p>
    <w:p w:rsidR="0096078B" w:rsidRPr="0096078B" w:rsidRDefault="0096078B" w:rsidP="0096078B">
      <w:pPr>
        <w:numPr>
          <w:ilvl w:val="0"/>
          <w:numId w:val="23"/>
        </w:numPr>
        <w:ind w:left="357" w:hanging="357"/>
        <w:jc w:val="both"/>
        <w:rPr>
          <w:rFonts w:ascii="Arial" w:eastAsia="Calibri" w:hAnsi="Arial" w:cs="Arial"/>
          <w:lang w:val="es-CR" w:eastAsia="en-US"/>
        </w:rPr>
      </w:pPr>
      <w:r w:rsidRPr="0096078B">
        <w:rPr>
          <w:rFonts w:ascii="Arial" w:eastAsia="Calibri" w:hAnsi="Arial" w:cs="Arial"/>
          <w:lang w:val="es-CR" w:eastAsia="en-US"/>
        </w:rPr>
        <w:t xml:space="preserve">En la Sesión Ordinaria No. 2652, </w:t>
      </w:r>
      <w:r>
        <w:rPr>
          <w:rFonts w:ascii="Arial" w:eastAsia="Calibri" w:hAnsi="Arial" w:cs="Arial"/>
          <w:lang w:val="es-CR" w:eastAsia="en-US"/>
        </w:rPr>
        <w:t>A</w:t>
      </w:r>
      <w:r w:rsidRPr="0096078B">
        <w:rPr>
          <w:rFonts w:ascii="Arial" w:eastAsia="Calibri" w:hAnsi="Arial" w:cs="Arial"/>
          <w:lang w:val="es-CR" w:eastAsia="en-US"/>
        </w:rPr>
        <w:t xml:space="preserve">rtículo 10, del </w:t>
      </w:r>
      <w:r w:rsidRPr="0096078B">
        <w:rPr>
          <w:rFonts w:ascii="Arial" w:eastAsia="Arial" w:hAnsi="Arial" w:cs="Arial"/>
        </w:rPr>
        <w:t>11 de marzo del 2010, el Consejo Institucional, tomó el siguiente acuerdo:</w:t>
      </w:r>
    </w:p>
    <w:p w:rsidR="0096078B" w:rsidRPr="0096078B" w:rsidRDefault="0096078B" w:rsidP="0096078B">
      <w:pPr>
        <w:jc w:val="both"/>
        <w:rPr>
          <w:rFonts w:ascii="Arial" w:eastAsia="Calibri" w:hAnsi="Arial" w:cs="Arial"/>
          <w:lang w:val="es-CR" w:eastAsia="en-US"/>
        </w:rPr>
      </w:pPr>
    </w:p>
    <w:p w:rsidR="0096078B" w:rsidRDefault="0096078B" w:rsidP="0096078B">
      <w:pPr>
        <w:numPr>
          <w:ilvl w:val="0"/>
          <w:numId w:val="28"/>
        </w:numPr>
        <w:tabs>
          <w:tab w:val="left" w:pos="993"/>
        </w:tabs>
        <w:ind w:left="851" w:right="333" w:hanging="284"/>
        <w:contextualSpacing/>
        <w:jc w:val="both"/>
        <w:rPr>
          <w:rFonts w:ascii="Arial" w:eastAsia="Arial" w:hAnsi="Arial" w:cs="Arial"/>
          <w:i/>
          <w:sz w:val="22"/>
          <w:szCs w:val="22"/>
        </w:rPr>
      </w:pPr>
      <w:r w:rsidRPr="0096078B">
        <w:rPr>
          <w:rFonts w:ascii="Arial" w:eastAsia="Arial" w:hAnsi="Arial" w:cs="Arial"/>
          <w:i/>
          <w:sz w:val="22"/>
          <w:szCs w:val="22"/>
        </w:rPr>
        <w:t xml:space="preserve">“Acoger la propuesta de modificación del Estatuto Orgánico planteada por las Comisiones </w:t>
      </w:r>
      <w:proofErr w:type="gramStart"/>
      <w:r w:rsidRPr="0096078B">
        <w:rPr>
          <w:rFonts w:ascii="Arial" w:eastAsia="Arial" w:hAnsi="Arial" w:cs="Arial"/>
          <w:i/>
          <w:sz w:val="22"/>
          <w:szCs w:val="22"/>
        </w:rPr>
        <w:t>de  Planificación</w:t>
      </w:r>
      <w:proofErr w:type="gramEnd"/>
      <w:r w:rsidRPr="0096078B">
        <w:rPr>
          <w:rFonts w:ascii="Arial" w:eastAsia="Arial" w:hAnsi="Arial" w:cs="Arial"/>
          <w:i/>
          <w:sz w:val="22"/>
          <w:szCs w:val="22"/>
        </w:rPr>
        <w:t xml:space="preserve"> y Administración, Estatuto Orgánico, Asuntos  Académicos y Estudiantiles,  e iniciar el proceso estipulado en el Artículo 142  del Estatuto Orgánico,   para que el Artículo 71 se lea:</w:t>
      </w:r>
    </w:p>
    <w:p w:rsidR="0096078B" w:rsidRDefault="0096078B" w:rsidP="0096078B">
      <w:pPr>
        <w:tabs>
          <w:tab w:val="left" w:pos="993"/>
        </w:tabs>
        <w:ind w:right="333"/>
        <w:contextualSpacing/>
        <w:jc w:val="both"/>
        <w:rPr>
          <w:rFonts w:ascii="Arial" w:eastAsia="Arial" w:hAnsi="Arial" w:cs="Arial"/>
          <w:i/>
          <w:sz w:val="22"/>
          <w:szCs w:val="22"/>
        </w:rPr>
      </w:pPr>
    </w:p>
    <w:p w:rsidR="0096078B" w:rsidRDefault="0096078B" w:rsidP="0096078B">
      <w:pPr>
        <w:tabs>
          <w:tab w:val="left" w:pos="993"/>
        </w:tabs>
        <w:ind w:right="333"/>
        <w:contextualSpacing/>
        <w:jc w:val="both"/>
        <w:rPr>
          <w:rFonts w:ascii="Arial" w:eastAsia="Arial" w:hAnsi="Arial" w:cs="Arial"/>
          <w:i/>
          <w:sz w:val="22"/>
          <w:szCs w:val="22"/>
        </w:rPr>
      </w:pPr>
    </w:p>
    <w:p w:rsidR="0096078B" w:rsidRDefault="0096078B" w:rsidP="0096078B">
      <w:pPr>
        <w:tabs>
          <w:tab w:val="left" w:pos="993"/>
        </w:tabs>
        <w:ind w:right="333"/>
        <w:contextualSpacing/>
        <w:jc w:val="both"/>
        <w:rPr>
          <w:rFonts w:ascii="Arial" w:eastAsia="Arial" w:hAnsi="Arial" w:cs="Arial"/>
          <w:i/>
          <w:sz w:val="22"/>
          <w:szCs w:val="22"/>
        </w:rPr>
      </w:pPr>
    </w:p>
    <w:p w:rsidR="0096078B" w:rsidRDefault="0096078B" w:rsidP="0096078B">
      <w:pPr>
        <w:tabs>
          <w:tab w:val="left" w:pos="993"/>
        </w:tabs>
        <w:ind w:right="333"/>
        <w:contextualSpacing/>
        <w:jc w:val="both"/>
        <w:rPr>
          <w:rFonts w:ascii="Arial" w:eastAsia="Arial" w:hAnsi="Arial" w:cs="Arial"/>
          <w:i/>
          <w:sz w:val="22"/>
          <w:szCs w:val="22"/>
        </w:rPr>
      </w:pPr>
    </w:p>
    <w:p w:rsidR="0096078B" w:rsidRDefault="0096078B" w:rsidP="0096078B">
      <w:pPr>
        <w:tabs>
          <w:tab w:val="left" w:pos="993"/>
        </w:tabs>
        <w:ind w:right="333"/>
        <w:contextualSpacing/>
        <w:jc w:val="both"/>
        <w:rPr>
          <w:rFonts w:ascii="Arial" w:eastAsia="Arial" w:hAnsi="Arial" w:cs="Arial"/>
          <w:i/>
          <w:sz w:val="22"/>
          <w:szCs w:val="22"/>
        </w:rPr>
      </w:pPr>
    </w:p>
    <w:p w:rsidR="0096078B" w:rsidRDefault="0096078B" w:rsidP="0096078B">
      <w:pPr>
        <w:tabs>
          <w:tab w:val="left" w:pos="993"/>
        </w:tabs>
        <w:ind w:right="333"/>
        <w:contextualSpacing/>
        <w:jc w:val="both"/>
        <w:rPr>
          <w:rFonts w:ascii="Arial" w:eastAsia="Arial" w:hAnsi="Arial" w:cs="Arial"/>
          <w:i/>
          <w:sz w:val="22"/>
          <w:szCs w:val="22"/>
        </w:rPr>
      </w:pPr>
    </w:p>
    <w:p w:rsidR="0096078B" w:rsidRPr="0096078B" w:rsidRDefault="0096078B" w:rsidP="0096078B">
      <w:pPr>
        <w:tabs>
          <w:tab w:val="left" w:pos="993"/>
        </w:tabs>
        <w:ind w:right="333"/>
        <w:contextualSpacing/>
        <w:jc w:val="both"/>
        <w:rPr>
          <w:rFonts w:ascii="Arial" w:eastAsia="Arial" w:hAnsi="Arial" w:cs="Arial"/>
          <w:i/>
          <w:sz w:val="22"/>
          <w:szCs w:val="22"/>
        </w:rPr>
      </w:pPr>
    </w:p>
    <w:p w:rsidR="0096078B" w:rsidRPr="0096078B" w:rsidRDefault="0096078B" w:rsidP="0096078B">
      <w:pPr>
        <w:ind w:left="1080"/>
        <w:contextualSpacing/>
        <w:jc w:val="both"/>
        <w:rPr>
          <w:rFonts w:ascii="Arial" w:eastAsia="Arial" w:hAnsi="Arial" w:cs="Arial"/>
          <w:sz w:val="22"/>
          <w:szCs w:val="22"/>
        </w:rPr>
      </w:pPr>
    </w:p>
    <w:tbl>
      <w:tblPr>
        <w:tblW w:w="7229"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3"/>
        <w:gridCol w:w="3686"/>
      </w:tblGrid>
      <w:tr w:rsidR="0096078B" w:rsidRPr="0096078B" w:rsidTr="00F21646">
        <w:tc>
          <w:tcPr>
            <w:tcW w:w="3543" w:type="dxa"/>
          </w:tcPr>
          <w:p w:rsidR="0096078B" w:rsidRPr="0096078B" w:rsidRDefault="0096078B" w:rsidP="0096078B">
            <w:pPr>
              <w:jc w:val="center"/>
              <w:rPr>
                <w:i/>
                <w:sz w:val="22"/>
                <w:szCs w:val="22"/>
              </w:rPr>
            </w:pPr>
            <w:r w:rsidRPr="0096078B">
              <w:rPr>
                <w:rFonts w:ascii="Arial" w:eastAsia="Arial" w:hAnsi="Arial" w:cs="Arial"/>
                <w:i/>
                <w:sz w:val="22"/>
                <w:szCs w:val="22"/>
              </w:rPr>
              <w:t>Actual</w:t>
            </w:r>
          </w:p>
        </w:tc>
        <w:tc>
          <w:tcPr>
            <w:tcW w:w="3686" w:type="dxa"/>
          </w:tcPr>
          <w:p w:rsidR="0096078B" w:rsidRPr="0096078B" w:rsidRDefault="0096078B" w:rsidP="0096078B">
            <w:pPr>
              <w:jc w:val="center"/>
              <w:rPr>
                <w:i/>
                <w:sz w:val="22"/>
                <w:szCs w:val="22"/>
              </w:rPr>
            </w:pPr>
            <w:r w:rsidRPr="0096078B">
              <w:rPr>
                <w:rFonts w:ascii="Arial" w:eastAsia="Arial" w:hAnsi="Arial" w:cs="Arial"/>
                <w:i/>
                <w:sz w:val="22"/>
                <w:szCs w:val="22"/>
              </w:rPr>
              <w:t>Propuesta</w:t>
            </w:r>
          </w:p>
        </w:tc>
      </w:tr>
      <w:tr w:rsidR="0096078B" w:rsidRPr="0096078B" w:rsidTr="00F21646">
        <w:tc>
          <w:tcPr>
            <w:tcW w:w="3543" w:type="dxa"/>
          </w:tcPr>
          <w:p w:rsidR="0096078B" w:rsidRPr="0096078B" w:rsidRDefault="0096078B" w:rsidP="0096078B">
            <w:pPr>
              <w:widowControl w:val="0"/>
              <w:jc w:val="both"/>
              <w:rPr>
                <w:i/>
                <w:sz w:val="22"/>
                <w:szCs w:val="22"/>
              </w:rPr>
            </w:pPr>
            <w:r w:rsidRPr="0096078B">
              <w:rPr>
                <w:rFonts w:ascii="Arial" w:eastAsia="Arial" w:hAnsi="Arial" w:cs="Arial"/>
                <w:b/>
                <w:i/>
                <w:sz w:val="22"/>
                <w:szCs w:val="22"/>
              </w:rPr>
              <w:t>ARTÍCULO 71</w:t>
            </w:r>
          </w:p>
          <w:p w:rsidR="0096078B" w:rsidRPr="0096078B" w:rsidRDefault="0096078B" w:rsidP="0096078B">
            <w:pPr>
              <w:widowControl w:val="0"/>
              <w:jc w:val="both"/>
              <w:rPr>
                <w:i/>
                <w:sz w:val="22"/>
                <w:szCs w:val="22"/>
              </w:rPr>
            </w:pPr>
            <w:r w:rsidRPr="0096078B">
              <w:rPr>
                <w:rFonts w:ascii="Arial" w:eastAsia="Arial" w:hAnsi="Arial" w:cs="Arial"/>
                <w:i/>
                <w:sz w:val="22"/>
                <w:szCs w:val="22"/>
              </w:rPr>
              <w:t>La Rectoría contará con oficinas asesoras y asistenciales para su gestión.  Los directores o encargados de las oficinas asesoras serán designados por el Rector para el período de su nombramiento.</w:t>
            </w:r>
          </w:p>
          <w:p w:rsidR="0096078B" w:rsidRPr="0096078B" w:rsidRDefault="0096078B" w:rsidP="0096078B">
            <w:pPr>
              <w:jc w:val="both"/>
              <w:rPr>
                <w:i/>
                <w:sz w:val="22"/>
                <w:szCs w:val="22"/>
              </w:rPr>
            </w:pPr>
          </w:p>
        </w:tc>
        <w:tc>
          <w:tcPr>
            <w:tcW w:w="3686" w:type="dxa"/>
          </w:tcPr>
          <w:p w:rsidR="0096078B" w:rsidRPr="0096078B" w:rsidRDefault="0096078B" w:rsidP="0096078B">
            <w:pPr>
              <w:widowControl w:val="0"/>
              <w:jc w:val="both"/>
              <w:rPr>
                <w:i/>
                <w:sz w:val="22"/>
                <w:szCs w:val="22"/>
              </w:rPr>
            </w:pPr>
            <w:r w:rsidRPr="0096078B">
              <w:rPr>
                <w:rFonts w:ascii="Arial" w:eastAsia="Arial" w:hAnsi="Arial" w:cs="Arial"/>
                <w:b/>
                <w:i/>
                <w:sz w:val="22"/>
                <w:szCs w:val="22"/>
              </w:rPr>
              <w:t>ARTÍCULO 71</w:t>
            </w:r>
          </w:p>
          <w:p w:rsidR="0096078B" w:rsidRPr="0096078B" w:rsidRDefault="0096078B" w:rsidP="0096078B">
            <w:pPr>
              <w:widowControl w:val="0"/>
              <w:jc w:val="both"/>
              <w:rPr>
                <w:i/>
                <w:sz w:val="22"/>
                <w:szCs w:val="22"/>
              </w:rPr>
            </w:pPr>
            <w:r w:rsidRPr="0096078B">
              <w:rPr>
                <w:rFonts w:ascii="Arial" w:eastAsia="Arial" w:hAnsi="Arial" w:cs="Arial"/>
                <w:i/>
                <w:sz w:val="22"/>
                <w:szCs w:val="22"/>
              </w:rPr>
              <w:t>La Rectoría contará con oficinas asesoras y asistenciales para su gestión.  Los directores o encargados de las oficinas asesoras serán designados por el Rector para el período de su nombramiento.</w:t>
            </w:r>
          </w:p>
          <w:p w:rsidR="0096078B" w:rsidRPr="0096078B" w:rsidRDefault="0096078B" w:rsidP="0096078B">
            <w:pPr>
              <w:widowControl w:val="0"/>
              <w:jc w:val="both"/>
              <w:rPr>
                <w:i/>
                <w:sz w:val="22"/>
                <w:szCs w:val="22"/>
              </w:rPr>
            </w:pPr>
            <w:r w:rsidRPr="0096078B">
              <w:rPr>
                <w:rFonts w:ascii="Arial" w:eastAsia="Arial" w:hAnsi="Arial" w:cs="Arial"/>
                <w:i/>
                <w:sz w:val="22"/>
                <w:szCs w:val="22"/>
              </w:rPr>
              <w:t xml:space="preserve">La Oficina de Planificación Institucional (OPI) será un departamento de apoyo a la academia, con carácter de oficina asesora, adscrita a la Rectoría, cuyo director será nombrado por el Rector y ratificado por el Consejo de Planificación Institucional, tendrá rango de vicerrector. </w:t>
            </w:r>
          </w:p>
          <w:p w:rsidR="0096078B" w:rsidRPr="0096078B" w:rsidRDefault="0096078B" w:rsidP="0096078B">
            <w:pPr>
              <w:rPr>
                <w:i/>
                <w:sz w:val="22"/>
                <w:szCs w:val="22"/>
              </w:rPr>
            </w:pPr>
            <w:r w:rsidRPr="0096078B">
              <w:rPr>
                <w:rFonts w:ascii="Arial" w:eastAsia="Arial" w:hAnsi="Arial" w:cs="Arial"/>
                <w:i/>
                <w:sz w:val="22"/>
                <w:szCs w:val="22"/>
              </w:rPr>
              <w:t>Las funciones de la OPI serán:</w:t>
            </w:r>
          </w:p>
          <w:p w:rsidR="0096078B" w:rsidRPr="0096078B" w:rsidRDefault="0096078B" w:rsidP="0096078B">
            <w:pPr>
              <w:numPr>
                <w:ilvl w:val="0"/>
                <w:numId w:val="27"/>
              </w:numPr>
              <w:tabs>
                <w:tab w:val="left" w:pos="417"/>
              </w:tabs>
              <w:ind w:left="414" w:hanging="271"/>
              <w:jc w:val="both"/>
              <w:rPr>
                <w:rFonts w:ascii="Arial" w:eastAsia="Arial" w:hAnsi="Arial" w:cs="Arial"/>
                <w:i/>
                <w:sz w:val="22"/>
                <w:szCs w:val="22"/>
              </w:rPr>
            </w:pPr>
            <w:r w:rsidRPr="0096078B">
              <w:rPr>
                <w:rFonts w:ascii="Arial" w:eastAsia="Arial" w:hAnsi="Arial" w:cs="Arial"/>
                <w:i/>
                <w:sz w:val="22"/>
                <w:szCs w:val="22"/>
              </w:rPr>
              <w:t>Gestionar la información para toma de decisiones institucionales</w:t>
            </w:r>
          </w:p>
          <w:p w:rsidR="0096078B" w:rsidRPr="0096078B" w:rsidRDefault="0096078B" w:rsidP="0096078B">
            <w:pPr>
              <w:numPr>
                <w:ilvl w:val="0"/>
                <w:numId w:val="27"/>
              </w:numPr>
              <w:tabs>
                <w:tab w:val="left" w:pos="417"/>
              </w:tabs>
              <w:ind w:left="414" w:hanging="271"/>
              <w:jc w:val="both"/>
              <w:rPr>
                <w:rFonts w:ascii="Arial" w:eastAsia="Arial" w:hAnsi="Arial" w:cs="Arial"/>
                <w:i/>
                <w:sz w:val="22"/>
                <w:szCs w:val="22"/>
              </w:rPr>
            </w:pPr>
            <w:r w:rsidRPr="0096078B">
              <w:rPr>
                <w:rFonts w:ascii="Arial" w:eastAsia="Arial" w:hAnsi="Arial" w:cs="Arial"/>
                <w:i/>
                <w:sz w:val="22"/>
                <w:szCs w:val="22"/>
              </w:rPr>
              <w:t>Apoyar técnicamente en el desarrollo de planes a largo, mediano y corto plazo</w:t>
            </w:r>
          </w:p>
          <w:p w:rsidR="0096078B" w:rsidRPr="0096078B" w:rsidRDefault="0096078B" w:rsidP="0096078B">
            <w:pPr>
              <w:numPr>
                <w:ilvl w:val="0"/>
                <w:numId w:val="27"/>
              </w:numPr>
              <w:tabs>
                <w:tab w:val="left" w:pos="417"/>
              </w:tabs>
              <w:ind w:left="414" w:hanging="271"/>
              <w:jc w:val="both"/>
              <w:rPr>
                <w:rFonts w:ascii="Arial" w:eastAsia="Arial" w:hAnsi="Arial" w:cs="Arial"/>
                <w:i/>
                <w:sz w:val="22"/>
                <w:szCs w:val="22"/>
              </w:rPr>
            </w:pPr>
            <w:r w:rsidRPr="0096078B">
              <w:rPr>
                <w:rFonts w:ascii="Arial" w:eastAsia="Arial" w:hAnsi="Arial" w:cs="Arial"/>
                <w:i/>
                <w:sz w:val="22"/>
                <w:szCs w:val="22"/>
              </w:rPr>
              <w:t>Colaborar en la puesta en marcha de la estrategia</w:t>
            </w:r>
          </w:p>
          <w:p w:rsidR="0096078B" w:rsidRPr="0096078B" w:rsidRDefault="0096078B" w:rsidP="0096078B">
            <w:pPr>
              <w:numPr>
                <w:ilvl w:val="0"/>
                <w:numId w:val="27"/>
              </w:numPr>
              <w:tabs>
                <w:tab w:val="left" w:pos="417"/>
              </w:tabs>
              <w:ind w:left="414" w:hanging="271"/>
              <w:jc w:val="both"/>
              <w:rPr>
                <w:rFonts w:ascii="Arial" w:eastAsia="Arial" w:hAnsi="Arial" w:cs="Arial"/>
                <w:i/>
                <w:sz w:val="22"/>
                <w:szCs w:val="22"/>
              </w:rPr>
            </w:pPr>
            <w:r w:rsidRPr="0096078B">
              <w:rPr>
                <w:rFonts w:ascii="Arial" w:eastAsia="Arial" w:hAnsi="Arial" w:cs="Arial"/>
                <w:i/>
                <w:sz w:val="22"/>
                <w:szCs w:val="22"/>
              </w:rPr>
              <w:t>Supervisar el desempeño institucional.</w:t>
            </w:r>
          </w:p>
        </w:tc>
      </w:tr>
    </w:tbl>
    <w:p w:rsidR="0096078B" w:rsidRPr="0096078B" w:rsidRDefault="0096078B" w:rsidP="0096078B">
      <w:pPr>
        <w:jc w:val="both"/>
        <w:rPr>
          <w:rFonts w:ascii="Arial" w:eastAsia="Calibri" w:hAnsi="Arial" w:cs="Arial"/>
          <w:lang w:val="es-CR" w:eastAsia="en-US"/>
        </w:rPr>
      </w:pPr>
    </w:p>
    <w:p w:rsidR="0096078B" w:rsidRPr="0096078B" w:rsidRDefault="0096078B" w:rsidP="0096078B">
      <w:pPr>
        <w:ind w:left="426"/>
        <w:jc w:val="both"/>
        <w:rPr>
          <w:rFonts w:ascii="Arial" w:eastAsia="Calibri" w:hAnsi="Arial" w:cs="Arial"/>
          <w:lang w:val="es-CR" w:eastAsia="en-US"/>
        </w:rPr>
      </w:pPr>
      <w:r w:rsidRPr="0096078B">
        <w:rPr>
          <w:rFonts w:ascii="Arial" w:eastAsia="Calibri" w:hAnsi="Arial" w:cs="Arial"/>
          <w:lang w:val="es-CR" w:eastAsia="en-US"/>
        </w:rPr>
        <w:t xml:space="preserve">Esta reforma </w:t>
      </w:r>
      <w:proofErr w:type="spellStart"/>
      <w:r w:rsidRPr="0096078B">
        <w:rPr>
          <w:rFonts w:ascii="Arial" w:eastAsia="Calibri" w:hAnsi="Arial" w:cs="Arial"/>
          <w:lang w:val="es-CR" w:eastAsia="en-US"/>
        </w:rPr>
        <w:t>del</w:t>
      </w:r>
      <w:r>
        <w:rPr>
          <w:rFonts w:ascii="Arial" w:eastAsia="Calibri" w:hAnsi="Arial" w:cs="Arial"/>
          <w:lang w:val="es-CR" w:eastAsia="en-US"/>
        </w:rPr>
        <w:t>A</w:t>
      </w:r>
      <w:r w:rsidRPr="0096078B">
        <w:rPr>
          <w:rFonts w:ascii="Arial" w:eastAsia="Calibri" w:hAnsi="Arial" w:cs="Arial"/>
          <w:lang w:val="es-CR" w:eastAsia="en-US"/>
        </w:rPr>
        <w:t>artículo</w:t>
      </w:r>
      <w:proofErr w:type="spellEnd"/>
      <w:r w:rsidRPr="0096078B">
        <w:rPr>
          <w:rFonts w:ascii="Arial" w:eastAsia="Calibri" w:hAnsi="Arial" w:cs="Arial"/>
          <w:lang w:val="es-CR" w:eastAsia="en-US"/>
        </w:rPr>
        <w:t xml:space="preserve"> 71 del Estatuto Orgánico no se concretó, porque no fue tramitada según el procedimiento establecido en el Estatuto Orgánico.</w:t>
      </w:r>
    </w:p>
    <w:p w:rsidR="0096078B" w:rsidRPr="0096078B" w:rsidRDefault="0096078B" w:rsidP="0096078B">
      <w:pPr>
        <w:jc w:val="both"/>
        <w:rPr>
          <w:rFonts w:ascii="Arial" w:eastAsia="Calibri" w:hAnsi="Arial" w:cs="Arial"/>
          <w:lang w:val="es-CR" w:eastAsia="es-CR"/>
        </w:rPr>
      </w:pPr>
    </w:p>
    <w:p w:rsidR="0096078B" w:rsidRPr="0096078B" w:rsidRDefault="0096078B" w:rsidP="0096078B">
      <w:pPr>
        <w:numPr>
          <w:ilvl w:val="0"/>
          <w:numId w:val="23"/>
        </w:numPr>
        <w:ind w:left="357" w:hanging="357"/>
        <w:jc w:val="both"/>
        <w:rPr>
          <w:rFonts w:ascii="Arial" w:eastAsia="Calibri" w:hAnsi="Arial" w:cs="Arial"/>
          <w:lang w:val="es-CR" w:eastAsia="en-US"/>
        </w:rPr>
      </w:pPr>
      <w:r w:rsidRPr="0096078B">
        <w:rPr>
          <w:rFonts w:ascii="Arial" w:eastAsia="Calibri" w:hAnsi="Arial" w:cs="Arial"/>
          <w:lang w:val="es-CR" w:eastAsia="en-US"/>
        </w:rPr>
        <w:t>El Artículo 71 del Estatuto Orgánico, indica lo siguiente:</w:t>
      </w:r>
    </w:p>
    <w:p w:rsidR="0096078B" w:rsidRPr="0096078B" w:rsidRDefault="0096078B" w:rsidP="0096078B">
      <w:pPr>
        <w:ind w:left="708"/>
        <w:rPr>
          <w:rFonts w:ascii="Arial" w:eastAsia="Calibri" w:hAnsi="Arial" w:cs="Arial"/>
          <w:lang w:eastAsia="en-US"/>
        </w:rPr>
      </w:pPr>
    </w:p>
    <w:p w:rsidR="0096078B" w:rsidRPr="0096078B" w:rsidRDefault="0096078B" w:rsidP="0096078B">
      <w:pPr>
        <w:ind w:left="567" w:right="474"/>
        <w:contextualSpacing/>
        <w:jc w:val="both"/>
        <w:rPr>
          <w:rFonts w:ascii="Arial" w:eastAsia="Arial" w:hAnsi="Arial" w:cs="Arial"/>
          <w:i/>
          <w:sz w:val="22"/>
          <w:szCs w:val="22"/>
        </w:rPr>
      </w:pPr>
      <w:r w:rsidRPr="0096078B">
        <w:rPr>
          <w:rFonts w:ascii="Arial" w:eastAsia="Arial" w:hAnsi="Arial" w:cs="Arial"/>
          <w:i/>
          <w:sz w:val="22"/>
          <w:szCs w:val="22"/>
        </w:rPr>
        <w:t>“Artículo 71</w:t>
      </w:r>
    </w:p>
    <w:p w:rsidR="0096078B" w:rsidRPr="0096078B" w:rsidRDefault="0096078B" w:rsidP="0096078B">
      <w:pPr>
        <w:ind w:left="567" w:right="474"/>
        <w:contextualSpacing/>
        <w:jc w:val="both"/>
        <w:rPr>
          <w:rFonts w:ascii="Arial" w:eastAsia="Arial" w:hAnsi="Arial" w:cs="Arial"/>
          <w:i/>
          <w:sz w:val="22"/>
          <w:szCs w:val="22"/>
        </w:rPr>
      </w:pPr>
    </w:p>
    <w:p w:rsidR="0096078B" w:rsidRPr="0096078B" w:rsidRDefault="0096078B" w:rsidP="0096078B">
      <w:pPr>
        <w:ind w:left="567" w:right="474"/>
        <w:contextualSpacing/>
        <w:jc w:val="both"/>
        <w:rPr>
          <w:rFonts w:ascii="Arial" w:eastAsia="Arial" w:hAnsi="Arial" w:cs="Arial"/>
          <w:i/>
          <w:sz w:val="22"/>
          <w:szCs w:val="22"/>
        </w:rPr>
      </w:pPr>
      <w:r w:rsidRPr="0096078B">
        <w:rPr>
          <w:rFonts w:ascii="Arial" w:eastAsia="Arial" w:hAnsi="Arial" w:cs="Arial"/>
          <w:i/>
          <w:sz w:val="22"/>
          <w:szCs w:val="22"/>
        </w:rPr>
        <w:t>La Rectoría contará con oficinas asesoras y asistenciales para su gestión. Los directores o encargados de las oficinas asesoras serán designados por el Rector para el período de su nombramiento”.</w:t>
      </w:r>
    </w:p>
    <w:p w:rsidR="0096078B" w:rsidRPr="0096078B" w:rsidRDefault="0096078B" w:rsidP="0096078B">
      <w:pPr>
        <w:ind w:right="281"/>
        <w:contextualSpacing/>
        <w:jc w:val="both"/>
        <w:rPr>
          <w:rFonts w:ascii="Arial" w:hAnsi="Arial" w:cs="Arial"/>
          <w:i/>
          <w:sz w:val="20"/>
          <w:szCs w:val="20"/>
          <w:highlight w:val="yellow"/>
        </w:rPr>
      </w:pPr>
    </w:p>
    <w:p w:rsidR="0096078B" w:rsidRPr="0096078B" w:rsidRDefault="0096078B" w:rsidP="0096078B">
      <w:pPr>
        <w:numPr>
          <w:ilvl w:val="0"/>
          <w:numId w:val="23"/>
        </w:numPr>
        <w:ind w:left="357" w:hanging="357"/>
        <w:jc w:val="both"/>
        <w:rPr>
          <w:rFonts w:ascii="Arial" w:eastAsia="Calibri" w:hAnsi="Arial" w:cs="Arial"/>
          <w:lang w:val="es-CR" w:eastAsia="es-CR"/>
        </w:rPr>
      </w:pPr>
      <w:r w:rsidRPr="0096078B">
        <w:rPr>
          <w:rFonts w:ascii="Arial" w:eastAsia="Calibri" w:hAnsi="Arial" w:cs="Arial"/>
          <w:lang w:val="es-CR" w:eastAsia="es-CR"/>
        </w:rPr>
        <w:t>El Artículo 6 del Estatuto Orgánico, dispone lo siguiente:</w:t>
      </w:r>
    </w:p>
    <w:p w:rsidR="0096078B" w:rsidRPr="0096078B" w:rsidRDefault="0096078B" w:rsidP="0096078B">
      <w:pPr>
        <w:ind w:left="357"/>
        <w:jc w:val="both"/>
        <w:rPr>
          <w:rFonts w:ascii="Arial" w:eastAsia="Calibri" w:hAnsi="Arial" w:cs="Arial"/>
          <w:lang w:val="es-CR" w:eastAsia="es-CR"/>
        </w:rPr>
      </w:pPr>
    </w:p>
    <w:p w:rsidR="0096078B" w:rsidRPr="0096078B" w:rsidRDefault="0096078B" w:rsidP="0096078B">
      <w:pPr>
        <w:ind w:left="426" w:right="474"/>
        <w:jc w:val="both"/>
        <w:rPr>
          <w:rFonts w:ascii="Arial" w:hAnsi="Arial" w:cs="Arial"/>
          <w:i/>
          <w:sz w:val="22"/>
          <w:szCs w:val="22"/>
        </w:rPr>
      </w:pPr>
      <w:r w:rsidRPr="0096078B">
        <w:rPr>
          <w:rFonts w:ascii="Arial" w:hAnsi="Arial" w:cs="Arial"/>
          <w:sz w:val="22"/>
          <w:szCs w:val="22"/>
          <w:lang w:val="es-CR"/>
        </w:rPr>
        <w:t>“</w:t>
      </w:r>
      <w:r w:rsidRPr="0096078B">
        <w:rPr>
          <w:rFonts w:ascii="Arial" w:hAnsi="Arial" w:cs="Arial"/>
          <w:i/>
          <w:sz w:val="22"/>
          <w:szCs w:val="22"/>
        </w:rPr>
        <w:t>Artículo 6</w:t>
      </w:r>
    </w:p>
    <w:p w:rsidR="0096078B" w:rsidRPr="0096078B" w:rsidRDefault="0096078B" w:rsidP="0096078B">
      <w:pPr>
        <w:ind w:left="426" w:right="474"/>
        <w:jc w:val="both"/>
        <w:rPr>
          <w:rFonts w:ascii="Arial" w:hAnsi="Arial" w:cs="Arial"/>
          <w:i/>
          <w:sz w:val="22"/>
          <w:szCs w:val="22"/>
        </w:rPr>
      </w:pPr>
    </w:p>
    <w:p w:rsidR="0096078B" w:rsidRPr="0096078B" w:rsidRDefault="0096078B" w:rsidP="0096078B">
      <w:pPr>
        <w:ind w:left="426" w:right="474"/>
        <w:jc w:val="both"/>
        <w:rPr>
          <w:rFonts w:ascii="Arial" w:hAnsi="Arial" w:cs="Arial"/>
          <w:i/>
          <w:sz w:val="22"/>
          <w:szCs w:val="22"/>
        </w:rPr>
      </w:pPr>
      <w:r w:rsidRPr="0096078B">
        <w:rPr>
          <w:rFonts w:ascii="Arial" w:hAnsi="Arial" w:cs="Arial"/>
          <w:i/>
          <w:sz w:val="22"/>
          <w:szCs w:val="22"/>
        </w:rPr>
        <w:t>La Asamblea Institucional Plebiscitaria está integrada de la siguiente manera:</w:t>
      </w:r>
    </w:p>
    <w:p w:rsidR="0096078B" w:rsidRPr="0096078B" w:rsidRDefault="0096078B" w:rsidP="0096078B">
      <w:pPr>
        <w:ind w:left="426" w:right="474"/>
        <w:jc w:val="both"/>
        <w:rPr>
          <w:rFonts w:ascii="Arial" w:hAnsi="Arial" w:cs="Arial"/>
          <w:i/>
          <w:sz w:val="22"/>
          <w:szCs w:val="22"/>
        </w:rPr>
      </w:pPr>
    </w:p>
    <w:p w:rsidR="0096078B" w:rsidRPr="0096078B" w:rsidRDefault="0096078B" w:rsidP="0096078B">
      <w:pPr>
        <w:ind w:left="426" w:right="474"/>
        <w:jc w:val="both"/>
        <w:rPr>
          <w:rFonts w:ascii="Arial" w:hAnsi="Arial" w:cs="Arial"/>
          <w:i/>
          <w:sz w:val="22"/>
          <w:szCs w:val="22"/>
        </w:rPr>
      </w:pPr>
      <w:r w:rsidRPr="0096078B">
        <w:rPr>
          <w:rFonts w:ascii="Arial" w:hAnsi="Arial" w:cs="Arial"/>
          <w:i/>
          <w:sz w:val="22"/>
          <w:szCs w:val="22"/>
        </w:rPr>
        <w:t>a. Los miembros del Consejo Institucional</w:t>
      </w:r>
    </w:p>
    <w:p w:rsidR="0096078B" w:rsidRPr="0096078B" w:rsidRDefault="0096078B" w:rsidP="0096078B">
      <w:pPr>
        <w:ind w:left="426" w:right="474"/>
        <w:jc w:val="both"/>
        <w:rPr>
          <w:rFonts w:ascii="Arial" w:hAnsi="Arial" w:cs="Arial"/>
          <w:i/>
          <w:sz w:val="22"/>
          <w:szCs w:val="22"/>
        </w:rPr>
      </w:pPr>
      <w:r w:rsidRPr="0096078B">
        <w:rPr>
          <w:rFonts w:ascii="Arial" w:hAnsi="Arial" w:cs="Arial"/>
          <w:i/>
          <w:sz w:val="22"/>
          <w:szCs w:val="22"/>
        </w:rPr>
        <w:t>b. El Auditor</w:t>
      </w:r>
    </w:p>
    <w:p w:rsidR="0096078B" w:rsidRPr="0096078B" w:rsidRDefault="0096078B" w:rsidP="0096078B">
      <w:pPr>
        <w:ind w:left="709" w:right="474" w:hanging="283"/>
        <w:jc w:val="both"/>
        <w:rPr>
          <w:rFonts w:ascii="Arial" w:hAnsi="Arial" w:cs="Arial"/>
          <w:i/>
          <w:sz w:val="22"/>
          <w:szCs w:val="22"/>
        </w:rPr>
      </w:pPr>
      <w:r w:rsidRPr="0096078B">
        <w:rPr>
          <w:rFonts w:ascii="Arial" w:hAnsi="Arial" w:cs="Arial"/>
          <w:i/>
          <w:sz w:val="22"/>
          <w:szCs w:val="22"/>
        </w:rPr>
        <w:t>c. Los Vicerrectores, los Directores de Campus Tecnológicos Locales y Centros Académicos</w:t>
      </w:r>
    </w:p>
    <w:p w:rsidR="0096078B" w:rsidRPr="0096078B" w:rsidRDefault="0096078B" w:rsidP="0096078B">
      <w:pPr>
        <w:ind w:left="426" w:right="474"/>
        <w:jc w:val="both"/>
        <w:rPr>
          <w:rFonts w:ascii="Arial" w:hAnsi="Arial" w:cs="Arial"/>
          <w:i/>
          <w:sz w:val="22"/>
          <w:szCs w:val="22"/>
        </w:rPr>
      </w:pPr>
      <w:r w:rsidRPr="0096078B">
        <w:rPr>
          <w:rFonts w:ascii="Arial" w:hAnsi="Arial" w:cs="Arial"/>
          <w:i/>
          <w:sz w:val="22"/>
          <w:szCs w:val="22"/>
        </w:rPr>
        <w:t>d. Los miembros titulares del Tribunal Institu</w:t>
      </w:r>
      <w:r w:rsidRPr="0096078B">
        <w:rPr>
          <w:rFonts w:ascii="Arial" w:hAnsi="Arial" w:cs="Arial"/>
          <w:i/>
          <w:sz w:val="22"/>
          <w:szCs w:val="22"/>
        </w:rPr>
        <w:softHyphen/>
        <w:t>cional Electoral</w:t>
      </w:r>
    </w:p>
    <w:p w:rsidR="0096078B" w:rsidRPr="0096078B" w:rsidRDefault="0096078B" w:rsidP="0096078B">
      <w:pPr>
        <w:ind w:left="709" w:right="474" w:hanging="283"/>
        <w:jc w:val="both"/>
        <w:rPr>
          <w:rFonts w:ascii="Arial" w:hAnsi="Arial" w:cs="Arial"/>
          <w:i/>
          <w:sz w:val="22"/>
          <w:szCs w:val="22"/>
        </w:rPr>
      </w:pPr>
      <w:r w:rsidRPr="0096078B">
        <w:rPr>
          <w:rFonts w:ascii="Arial" w:hAnsi="Arial" w:cs="Arial"/>
          <w:i/>
          <w:sz w:val="22"/>
          <w:szCs w:val="22"/>
        </w:rPr>
        <w:lastRenderedPageBreak/>
        <w:t>e. Los Directores de Departamento y los Di</w:t>
      </w:r>
      <w:r w:rsidRPr="0096078B">
        <w:rPr>
          <w:rFonts w:ascii="Arial" w:hAnsi="Arial" w:cs="Arial"/>
          <w:i/>
          <w:sz w:val="22"/>
          <w:szCs w:val="22"/>
        </w:rPr>
        <w:softHyphen/>
        <w:t>rectores de Centros de Investigación con</w:t>
      </w:r>
      <w:r w:rsidRPr="0096078B">
        <w:rPr>
          <w:rFonts w:ascii="Arial" w:hAnsi="Arial" w:cs="Arial"/>
          <w:i/>
          <w:sz w:val="22"/>
          <w:szCs w:val="22"/>
        </w:rPr>
        <w:softHyphen/>
        <w:t>solidados</w:t>
      </w:r>
    </w:p>
    <w:p w:rsidR="0096078B" w:rsidRPr="0096078B" w:rsidRDefault="0096078B" w:rsidP="0096078B">
      <w:pPr>
        <w:ind w:left="709" w:right="474" w:hanging="283"/>
        <w:jc w:val="both"/>
        <w:rPr>
          <w:rFonts w:ascii="Arial" w:hAnsi="Arial" w:cs="Arial"/>
          <w:i/>
          <w:sz w:val="22"/>
          <w:szCs w:val="22"/>
        </w:rPr>
      </w:pPr>
      <w:r w:rsidRPr="0096078B">
        <w:rPr>
          <w:rFonts w:ascii="Arial" w:hAnsi="Arial" w:cs="Arial"/>
          <w:i/>
          <w:sz w:val="22"/>
          <w:szCs w:val="22"/>
        </w:rPr>
        <w:t>f. Todos los profesores del Instituto, nombra</w:t>
      </w:r>
      <w:r w:rsidRPr="0096078B">
        <w:rPr>
          <w:rFonts w:ascii="Arial" w:hAnsi="Arial" w:cs="Arial"/>
          <w:i/>
          <w:sz w:val="22"/>
          <w:szCs w:val="22"/>
        </w:rPr>
        <w:softHyphen/>
        <w:t>dos por tiempo indefinido y con una jor</w:t>
      </w:r>
      <w:r w:rsidRPr="0096078B">
        <w:rPr>
          <w:rFonts w:ascii="Arial" w:hAnsi="Arial" w:cs="Arial"/>
          <w:i/>
          <w:sz w:val="22"/>
          <w:szCs w:val="22"/>
        </w:rPr>
        <w:softHyphen/>
        <w:t>nada no menor a medio tiempo completo. Estas condiciones deben cumplirse por lo menos seis meses antes de la fecha de publicación del padrón definitivo de la Asamblea Institucional Plebiscitaria</w:t>
      </w:r>
    </w:p>
    <w:p w:rsidR="0096078B" w:rsidRPr="0096078B" w:rsidRDefault="0096078B" w:rsidP="0096078B">
      <w:pPr>
        <w:ind w:left="709" w:right="474" w:hanging="283"/>
        <w:jc w:val="both"/>
        <w:rPr>
          <w:rFonts w:ascii="Arial" w:hAnsi="Arial" w:cs="Arial"/>
          <w:i/>
          <w:sz w:val="22"/>
          <w:szCs w:val="22"/>
        </w:rPr>
      </w:pPr>
      <w:r w:rsidRPr="0096078B">
        <w:rPr>
          <w:rFonts w:ascii="Arial" w:hAnsi="Arial" w:cs="Arial"/>
          <w:i/>
          <w:sz w:val="22"/>
          <w:szCs w:val="22"/>
        </w:rPr>
        <w:t>g. Un colegio electoral estudiantil conformado según el mecanismo establecido por dicho sector. Los miembros de dicho colegio de</w:t>
      </w:r>
      <w:r w:rsidRPr="0096078B">
        <w:rPr>
          <w:rFonts w:ascii="Arial" w:hAnsi="Arial" w:cs="Arial"/>
          <w:i/>
          <w:sz w:val="22"/>
          <w:szCs w:val="22"/>
        </w:rPr>
        <w:softHyphen/>
        <w:t>berán ser estudiantes matriculados en algún programa de diplomado, bachillerato, licenciatura, maestría o doctorado del Instituto Tecnológico de Costa Rica, que hayan cursado al menos un semestre en la institución al momento de la publicación del padrón electoral definitivo. La participación estudiantil tendrá una valoración equivalente a 5/12 del total de los miembros considerados en los incisos a, b, c, d, e, f de este artículo</w:t>
      </w:r>
    </w:p>
    <w:p w:rsidR="0096078B" w:rsidRPr="0096078B" w:rsidRDefault="0096078B" w:rsidP="0096078B">
      <w:pPr>
        <w:ind w:left="709" w:right="474" w:hanging="283"/>
        <w:jc w:val="both"/>
        <w:rPr>
          <w:rFonts w:ascii="Arial" w:hAnsi="Arial" w:cs="Arial"/>
          <w:i/>
          <w:sz w:val="22"/>
          <w:szCs w:val="22"/>
        </w:rPr>
      </w:pPr>
      <w:r w:rsidRPr="0096078B">
        <w:rPr>
          <w:rFonts w:ascii="Arial" w:hAnsi="Arial" w:cs="Arial"/>
          <w:i/>
          <w:sz w:val="22"/>
          <w:szCs w:val="22"/>
        </w:rPr>
        <w:t>h. Cuando el número de estudiantes del colegio electoral sea menor o igual a las 5/12 partes del total de los miembros considerados en los incisos a, b, c, d, e, f de este artículo, cada voto estudiantil tendrá un valor de uno</w:t>
      </w:r>
    </w:p>
    <w:p w:rsidR="0096078B" w:rsidRPr="0096078B" w:rsidRDefault="0096078B" w:rsidP="0096078B">
      <w:pPr>
        <w:ind w:left="567" w:right="474" w:hanging="141"/>
        <w:jc w:val="both"/>
        <w:rPr>
          <w:rFonts w:ascii="Arial" w:hAnsi="Arial" w:cs="Arial"/>
          <w:i/>
          <w:sz w:val="22"/>
          <w:szCs w:val="22"/>
        </w:rPr>
      </w:pPr>
      <w:r w:rsidRPr="0096078B">
        <w:rPr>
          <w:rFonts w:ascii="Arial" w:hAnsi="Arial" w:cs="Arial"/>
          <w:i/>
          <w:sz w:val="22"/>
          <w:szCs w:val="22"/>
        </w:rPr>
        <w:t>i. Todos los funcionarios administrativos del Instituto y los funcionarios que ejercen labores de fiscalización en la Auditoría Interna, nombrados por tiempo indefinido y con una jornada no menor a medio tiempo completo. Estas condiciones deben cumplirse por lo menos seis meses antes de la fecha de publicación del padrón definitivo de la Asamblea Institucional Plebiscitaria. La participación de este sector tiene una valoración equivalente a 1/4 del total de miembros considerados en los incisos a, b, c, d, e, f de este artículo.</w:t>
      </w:r>
    </w:p>
    <w:p w:rsidR="0096078B" w:rsidRPr="0096078B" w:rsidRDefault="0096078B" w:rsidP="0096078B">
      <w:pPr>
        <w:ind w:left="426" w:right="474"/>
        <w:jc w:val="both"/>
        <w:rPr>
          <w:rFonts w:ascii="Arial" w:hAnsi="Arial" w:cs="Arial"/>
          <w:i/>
          <w:sz w:val="22"/>
          <w:szCs w:val="22"/>
        </w:rPr>
      </w:pPr>
    </w:p>
    <w:p w:rsidR="0096078B" w:rsidRPr="0096078B" w:rsidRDefault="0096078B" w:rsidP="0096078B">
      <w:pPr>
        <w:ind w:left="426" w:right="474"/>
        <w:jc w:val="both"/>
        <w:rPr>
          <w:rFonts w:ascii="Arial" w:hAnsi="Arial" w:cs="Arial"/>
          <w:i/>
          <w:sz w:val="22"/>
          <w:szCs w:val="22"/>
        </w:rPr>
      </w:pPr>
      <w:r w:rsidRPr="0096078B">
        <w:rPr>
          <w:rFonts w:ascii="Arial" w:hAnsi="Arial" w:cs="Arial"/>
          <w:i/>
          <w:sz w:val="22"/>
          <w:szCs w:val="22"/>
        </w:rPr>
        <w:t xml:space="preserve">El Auditor y el </w:t>
      </w:r>
      <w:proofErr w:type="spellStart"/>
      <w:r w:rsidRPr="0096078B">
        <w:rPr>
          <w:rFonts w:ascii="Arial" w:hAnsi="Arial" w:cs="Arial"/>
          <w:i/>
          <w:sz w:val="22"/>
          <w:szCs w:val="22"/>
        </w:rPr>
        <w:t>Subauditor</w:t>
      </w:r>
      <w:proofErr w:type="spellEnd"/>
      <w:r w:rsidRPr="0096078B">
        <w:rPr>
          <w:rFonts w:ascii="Arial" w:hAnsi="Arial" w:cs="Arial"/>
          <w:i/>
          <w:sz w:val="22"/>
          <w:szCs w:val="22"/>
        </w:rPr>
        <w:t xml:space="preserve"> interno, así como los demás funcionarios que ejerzan labores de fiscalización en la Auditoría Interna integrarán la Asamblea Institucional Plebiscitaria, únicamente en los procesos electorales convocados para elegir al Rector y a los miembros del Consejo Institucional que le competen a dicha asamblea”.</w:t>
      </w:r>
    </w:p>
    <w:p w:rsidR="0096078B" w:rsidRPr="0096078B" w:rsidRDefault="0096078B" w:rsidP="0096078B">
      <w:pPr>
        <w:ind w:left="357"/>
        <w:jc w:val="both"/>
        <w:rPr>
          <w:rFonts w:ascii="Arial" w:eastAsia="Calibri" w:hAnsi="Arial" w:cs="Arial"/>
          <w:lang w:eastAsia="es-CR"/>
        </w:rPr>
      </w:pPr>
    </w:p>
    <w:p w:rsidR="0096078B" w:rsidRPr="0096078B" w:rsidRDefault="0096078B" w:rsidP="0096078B">
      <w:pPr>
        <w:numPr>
          <w:ilvl w:val="0"/>
          <w:numId w:val="23"/>
        </w:numPr>
        <w:ind w:left="357" w:hanging="357"/>
        <w:jc w:val="both"/>
        <w:rPr>
          <w:rFonts w:ascii="Arial" w:eastAsia="Calibri" w:hAnsi="Arial" w:cs="Arial"/>
          <w:lang w:eastAsia="es-CR"/>
        </w:rPr>
      </w:pPr>
      <w:r w:rsidRPr="0096078B">
        <w:rPr>
          <w:rFonts w:ascii="Arial" w:eastAsia="Calibri" w:hAnsi="Arial" w:cs="Arial"/>
          <w:lang w:eastAsia="es-CR"/>
        </w:rPr>
        <w:t>En el oficio DAIR-136-2018 del 06 de agosto de 2018, dirigido por la M.E.T. Rita Eugenia Morales Gómez, Asistente Administrativa de la Asamblea Institucional Representativa, dirigido al Dr. Luis Gerardo Meza Cascante, Coordinador de la Comisión de Estatuto Orgánico, se indica lo siguiente:</w:t>
      </w:r>
    </w:p>
    <w:p w:rsidR="0096078B" w:rsidRPr="0096078B" w:rsidRDefault="0096078B" w:rsidP="0096078B">
      <w:pPr>
        <w:autoSpaceDE w:val="0"/>
        <w:autoSpaceDN w:val="0"/>
        <w:adjustRightInd w:val="0"/>
        <w:rPr>
          <w:rFonts w:ascii="Arial" w:eastAsia="Calibri" w:hAnsi="Arial" w:cs="Arial"/>
          <w:lang w:val="es-CR" w:eastAsia="en-US"/>
        </w:rPr>
      </w:pPr>
    </w:p>
    <w:p w:rsidR="0096078B" w:rsidRPr="0096078B" w:rsidRDefault="0096078B" w:rsidP="0096078B">
      <w:pPr>
        <w:ind w:left="426" w:right="474"/>
        <w:jc w:val="both"/>
        <w:rPr>
          <w:rFonts w:ascii="Arial" w:hAnsi="Arial" w:cs="Arial"/>
          <w:i/>
          <w:sz w:val="22"/>
          <w:szCs w:val="22"/>
        </w:rPr>
      </w:pPr>
      <w:r w:rsidRPr="0096078B">
        <w:rPr>
          <w:rFonts w:ascii="Arial" w:hAnsi="Arial" w:cs="Arial"/>
          <w:i/>
          <w:sz w:val="22"/>
          <w:szCs w:val="22"/>
        </w:rPr>
        <w:t xml:space="preserve">“Según lo solicitado por su persona, vía correo electrónico, referente a una solicitud del Consejo Institucional para reformar el artículo 71 del Estatuto Orgánico y que fuese conocido en la AIR, al respecto le informo que esa solicitud no ingresó al Directorio, según consta en los registros de la Secretaría de la correspondencia entrante. </w:t>
      </w:r>
    </w:p>
    <w:p w:rsidR="0096078B" w:rsidRPr="0096078B" w:rsidRDefault="0096078B" w:rsidP="0096078B">
      <w:pPr>
        <w:ind w:left="426" w:right="474"/>
        <w:jc w:val="both"/>
        <w:rPr>
          <w:rFonts w:ascii="Arial" w:hAnsi="Arial" w:cs="Arial"/>
          <w:i/>
          <w:sz w:val="22"/>
          <w:szCs w:val="22"/>
        </w:rPr>
      </w:pPr>
    </w:p>
    <w:p w:rsidR="0096078B" w:rsidRPr="0096078B" w:rsidRDefault="0096078B" w:rsidP="0096078B">
      <w:pPr>
        <w:ind w:left="426" w:right="474"/>
        <w:jc w:val="both"/>
        <w:rPr>
          <w:rFonts w:ascii="Arial" w:hAnsi="Arial" w:cs="Arial"/>
          <w:i/>
          <w:sz w:val="22"/>
          <w:szCs w:val="22"/>
        </w:rPr>
      </w:pPr>
      <w:r w:rsidRPr="0096078B">
        <w:rPr>
          <w:rFonts w:ascii="Arial" w:hAnsi="Arial" w:cs="Arial"/>
          <w:i/>
          <w:sz w:val="22"/>
          <w:szCs w:val="22"/>
        </w:rPr>
        <w:t>También, se procedió a una revisión de todos los temas tratados en las sesiones de la AIR y ese tema no ha sido conocido”.</w:t>
      </w:r>
    </w:p>
    <w:p w:rsidR="0096078B" w:rsidRPr="0096078B" w:rsidRDefault="0096078B" w:rsidP="0096078B">
      <w:pPr>
        <w:ind w:left="426" w:right="474"/>
        <w:jc w:val="both"/>
        <w:rPr>
          <w:rFonts w:ascii="Arial" w:hAnsi="Arial" w:cs="Arial"/>
          <w:sz w:val="22"/>
          <w:szCs w:val="22"/>
        </w:rPr>
      </w:pPr>
    </w:p>
    <w:p w:rsidR="0096078B" w:rsidRPr="0096078B" w:rsidRDefault="0096078B" w:rsidP="0096078B">
      <w:pPr>
        <w:numPr>
          <w:ilvl w:val="0"/>
          <w:numId w:val="23"/>
        </w:numPr>
        <w:ind w:left="357" w:hanging="357"/>
        <w:jc w:val="both"/>
        <w:rPr>
          <w:rFonts w:ascii="Arial" w:eastAsia="Calibri" w:hAnsi="Arial" w:cs="Arial"/>
          <w:lang w:eastAsia="es-CR"/>
        </w:rPr>
      </w:pPr>
      <w:r w:rsidRPr="0096078B">
        <w:rPr>
          <w:rFonts w:ascii="Arial" w:eastAsia="Calibri" w:hAnsi="Arial" w:cs="Arial"/>
          <w:lang w:eastAsia="es-CR"/>
        </w:rPr>
        <w:t>En el oficio SCI-573-2018 del 08 de agosto de 2018 remitido por la M.A.E. Ana Damaris Quesada Murillo, Directora de la Secretaría del Consejo Institucional, dirigido al Dr. Luis Gerardo Meza Cascante, Coordinador de la Comisión de Estatuto Orgánico, se indica sobre el acuerdo de la Sesión Ordinaria 2652, Artículo 10, del 11 de marzo de 2010, lo siguiente:</w:t>
      </w:r>
    </w:p>
    <w:p w:rsidR="0096078B" w:rsidRPr="0096078B" w:rsidRDefault="0096078B" w:rsidP="0096078B">
      <w:pPr>
        <w:jc w:val="both"/>
        <w:rPr>
          <w:rFonts w:ascii="Arial" w:hAnsi="Arial" w:cs="Arial"/>
        </w:rPr>
      </w:pPr>
    </w:p>
    <w:p w:rsidR="0096078B" w:rsidRPr="0096078B" w:rsidRDefault="0096078B" w:rsidP="0096078B">
      <w:pPr>
        <w:ind w:left="567" w:right="474"/>
        <w:jc w:val="both"/>
        <w:rPr>
          <w:rFonts w:ascii="Arial" w:hAnsi="Arial" w:cs="Arial"/>
          <w:i/>
          <w:sz w:val="22"/>
          <w:szCs w:val="22"/>
        </w:rPr>
      </w:pPr>
      <w:r w:rsidRPr="0096078B">
        <w:rPr>
          <w:rFonts w:ascii="Arial" w:hAnsi="Arial" w:cs="Arial"/>
          <w:i/>
          <w:sz w:val="22"/>
          <w:szCs w:val="22"/>
        </w:rPr>
        <w:t xml:space="preserve">“Considerando que no se ubicaron datos posteriores a los detallados con anterioridad, se confirma que, el acuerdo citado no fue sometido a segunda votación, ni enviado a la Asamblea Institucional Representativa para su respectiva </w:t>
      </w:r>
      <w:r w:rsidRPr="0096078B">
        <w:rPr>
          <w:rFonts w:ascii="Arial" w:hAnsi="Arial" w:cs="Arial"/>
          <w:i/>
          <w:sz w:val="22"/>
          <w:szCs w:val="22"/>
        </w:rPr>
        <w:lastRenderedPageBreak/>
        <w:t>aprobación; a excepción de la propuesta recibida recientemente de parte de la Oficina de Planificación Institucional y que tiene en análisis la Comisión de Planificación y Administración”.</w:t>
      </w:r>
    </w:p>
    <w:p w:rsidR="0096078B" w:rsidRPr="0096078B" w:rsidRDefault="0096078B" w:rsidP="0096078B">
      <w:pPr>
        <w:jc w:val="both"/>
        <w:rPr>
          <w:rFonts w:ascii="Arial" w:hAnsi="Arial" w:cs="Arial"/>
          <w:color w:val="7030A0"/>
        </w:rPr>
      </w:pPr>
    </w:p>
    <w:p w:rsidR="0096078B" w:rsidRPr="0096078B" w:rsidRDefault="0096078B" w:rsidP="0096078B">
      <w:pPr>
        <w:tabs>
          <w:tab w:val="left" w:pos="3070"/>
        </w:tabs>
        <w:ind w:right="423"/>
        <w:rPr>
          <w:rFonts w:ascii="Arial" w:eastAsia="Arial" w:hAnsi="Arial" w:cs="Arial"/>
          <w:b/>
        </w:rPr>
      </w:pPr>
      <w:r w:rsidRPr="0096078B">
        <w:rPr>
          <w:rFonts w:ascii="Arial" w:eastAsia="Arial" w:hAnsi="Arial" w:cs="Arial"/>
          <w:b/>
        </w:rPr>
        <w:t xml:space="preserve">CONSIDERANDO QUE: </w:t>
      </w:r>
    </w:p>
    <w:p w:rsidR="0096078B" w:rsidRPr="0096078B" w:rsidRDefault="0096078B" w:rsidP="0096078B">
      <w:pPr>
        <w:tabs>
          <w:tab w:val="left" w:pos="3070"/>
        </w:tabs>
        <w:ind w:left="357" w:right="423"/>
        <w:rPr>
          <w:rFonts w:ascii="Arial" w:hAnsi="Arial" w:cs="Arial"/>
          <w:sz w:val="22"/>
          <w:szCs w:val="22"/>
        </w:rPr>
      </w:pPr>
    </w:p>
    <w:p w:rsidR="0096078B" w:rsidRPr="0096078B" w:rsidRDefault="0096078B" w:rsidP="0096078B">
      <w:pPr>
        <w:numPr>
          <w:ilvl w:val="0"/>
          <w:numId w:val="24"/>
        </w:numPr>
        <w:ind w:left="426" w:right="49" w:hanging="426"/>
        <w:jc w:val="both"/>
        <w:rPr>
          <w:rFonts w:ascii="Arial" w:eastAsia="Arial" w:hAnsi="Arial" w:cs="Arial"/>
        </w:rPr>
      </w:pPr>
      <w:r w:rsidRPr="0096078B">
        <w:rPr>
          <w:rFonts w:ascii="Arial" w:eastAsia="Arial" w:hAnsi="Arial" w:cs="Arial"/>
        </w:rPr>
        <w:t xml:space="preserve">El Consejo Institucional, carece de competencias para otorgar el rango de Vicerrector a una Dirección de Departamento o de Oficina Asesora de la Rectoría.  Por esta razón, el punto a, del acuerdo de la Sesión No. 2652, Artículo 10, del 11 de marzo de 2010, reseñado en el Resultando 2, carece de validez en ese aspecto. </w:t>
      </w:r>
    </w:p>
    <w:p w:rsidR="0096078B" w:rsidRPr="0096078B" w:rsidRDefault="0096078B" w:rsidP="0096078B">
      <w:pPr>
        <w:ind w:right="423"/>
        <w:jc w:val="both"/>
        <w:rPr>
          <w:rFonts w:ascii="Arial" w:eastAsia="Arial" w:hAnsi="Arial" w:cs="Arial"/>
        </w:rPr>
      </w:pPr>
    </w:p>
    <w:p w:rsidR="0096078B" w:rsidRPr="0096078B" w:rsidRDefault="0096078B" w:rsidP="0096078B">
      <w:pPr>
        <w:numPr>
          <w:ilvl w:val="0"/>
          <w:numId w:val="24"/>
        </w:numPr>
        <w:ind w:left="426" w:right="49" w:hanging="426"/>
        <w:jc w:val="both"/>
        <w:rPr>
          <w:rFonts w:ascii="Arial" w:eastAsia="Arial" w:hAnsi="Arial" w:cs="Arial"/>
        </w:rPr>
      </w:pPr>
      <w:r w:rsidRPr="0096078B">
        <w:rPr>
          <w:rFonts w:ascii="Arial" w:eastAsia="Arial" w:hAnsi="Arial" w:cs="Arial"/>
        </w:rPr>
        <w:t xml:space="preserve">La reforma al Artículo 71 que acogió el Consejo Institucional en la Sesión No. 2652, artículo 10, del 11 de marzo de 2010, reseñada en el resultando 3, no se concretó porque el Consejo Institucional no la tramitó según lo dispuesto en el Estatuto Orgánico para ese tipo de reformas, tal como se indica en el oficio DAIR-136-2018 y en el oficio </w:t>
      </w:r>
      <w:r w:rsidRPr="0096078B">
        <w:rPr>
          <w:rFonts w:ascii="Arial" w:eastAsia="Calibri" w:hAnsi="Arial" w:cs="Arial"/>
          <w:lang w:eastAsia="es-CR"/>
        </w:rPr>
        <w:t>SCI-573-2018</w:t>
      </w:r>
      <w:r w:rsidRPr="0096078B">
        <w:rPr>
          <w:rFonts w:ascii="Arial" w:eastAsia="Arial" w:hAnsi="Arial" w:cs="Arial"/>
        </w:rPr>
        <w:t>.</w:t>
      </w:r>
    </w:p>
    <w:p w:rsidR="0096078B" w:rsidRPr="0096078B" w:rsidRDefault="0096078B" w:rsidP="0096078B">
      <w:pPr>
        <w:ind w:left="720"/>
        <w:contextualSpacing/>
        <w:rPr>
          <w:rFonts w:ascii="Arial" w:eastAsia="Arial" w:hAnsi="Arial" w:cs="Arial"/>
        </w:rPr>
      </w:pPr>
    </w:p>
    <w:p w:rsidR="0096078B" w:rsidRPr="0096078B" w:rsidRDefault="0096078B" w:rsidP="0096078B">
      <w:pPr>
        <w:numPr>
          <w:ilvl w:val="0"/>
          <w:numId w:val="24"/>
        </w:numPr>
        <w:ind w:left="426" w:right="49" w:hanging="426"/>
        <w:jc w:val="both"/>
        <w:rPr>
          <w:rFonts w:ascii="Arial" w:eastAsia="Arial" w:hAnsi="Arial" w:cs="Arial"/>
        </w:rPr>
      </w:pPr>
      <w:r w:rsidRPr="0096078B">
        <w:rPr>
          <w:rFonts w:ascii="Arial" w:eastAsia="Arial" w:hAnsi="Arial" w:cs="Arial"/>
        </w:rPr>
        <w:t xml:space="preserve">De lo indicado en los puntos anteriores, se desprende que la Dirección de la Oficina de Planificación Institucional no tiene rango de Vicerrector, por carecer el Consejo Institucional de competencia para otorgar esa condición y porque no se concretó la reforma al artículo 71 del Estatuto Orgánico, acogida para el trámite correspondiente en la </w:t>
      </w:r>
      <w:r w:rsidRPr="0096078B">
        <w:rPr>
          <w:rFonts w:ascii="Arial" w:eastAsia="Calibri" w:hAnsi="Arial" w:cs="Arial"/>
          <w:lang w:val="es-CR" w:eastAsia="en-US"/>
        </w:rPr>
        <w:t xml:space="preserve">Sesión Ordinaria No. 2652, artículo 10, del </w:t>
      </w:r>
      <w:r w:rsidRPr="0096078B">
        <w:rPr>
          <w:rFonts w:ascii="Arial" w:eastAsia="Arial" w:hAnsi="Arial" w:cs="Arial"/>
        </w:rPr>
        <w:t>11 de marzo del 2010.</w:t>
      </w:r>
    </w:p>
    <w:p w:rsidR="0096078B" w:rsidRPr="0096078B" w:rsidRDefault="0096078B" w:rsidP="0096078B">
      <w:pPr>
        <w:ind w:left="720"/>
        <w:contextualSpacing/>
        <w:rPr>
          <w:rFonts w:ascii="Arial" w:eastAsia="Arial" w:hAnsi="Arial" w:cs="Arial"/>
        </w:rPr>
      </w:pPr>
    </w:p>
    <w:p w:rsidR="0096078B" w:rsidRPr="0096078B" w:rsidRDefault="0096078B" w:rsidP="0096078B">
      <w:pPr>
        <w:numPr>
          <w:ilvl w:val="0"/>
          <w:numId w:val="24"/>
        </w:numPr>
        <w:ind w:left="426" w:right="49" w:hanging="426"/>
        <w:jc w:val="both"/>
        <w:rPr>
          <w:rFonts w:ascii="Arial" w:eastAsia="Arial" w:hAnsi="Arial" w:cs="Arial"/>
        </w:rPr>
      </w:pPr>
      <w:r w:rsidRPr="0096078B">
        <w:rPr>
          <w:rFonts w:ascii="Arial" w:eastAsia="Arial" w:hAnsi="Arial" w:cs="Arial"/>
        </w:rPr>
        <w:t>El acuerdo de la Sesión Ordinaria No. 2652, artículo 10, del 11 de marzo del 2010, ratificó la condición de la Oficina de Planificación Institucional, como “Departamento de apoyo a la academia, con carácter de oficina asesora adscrita a la Rectoría”, lo que resulta inconsistente, porque las oficinas asesoras de la Rectoría, no tienen el rango de departamentos.  No obstante, de ese acuerdo prevalece la intención del Consejo Institucional, de mantener a la Oficina de Planificación Institucional, en la condición de oficina asesora de la Rectoría, en los términos que señala el artículo 71 del Estatuto Orgánico.</w:t>
      </w:r>
    </w:p>
    <w:p w:rsidR="0096078B" w:rsidRPr="0096078B" w:rsidRDefault="0096078B" w:rsidP="0096078B">
      <w:pPr>
        <w:ind w:left="357" w:right="423"/>
        <w:jc w:val="both"/>
        <w:rPr>
          <w:rFonts w:ascii="Arial" w:eastAsia="Arial" w:hAnsi="Arial" w:cs="Arial"/>
        </w:rPr>
      </w:pPr>
    </w:p>
    <w:p w:rsidR="0096078B" w:rsidRPr="0096078B" w:rsidRDefault="0096078B" w:rsidP="0096078B">
      <w:pPr>
        <w:ind w:right="423"/>
        <w:rPr>
          <w:rFonts w:ascii="Arial" w:eastAsia="Arial" w:hAnsi="Arial" w:cs="Arial"/>
          <w:b/>
        </w:rPr>
      </w:pPr>
      <w:r w:rsidRPr="0096078B">
        <w:rPr>
          <w:rFonts w:ascii="Arial" w:eastAsia="Arial" w:hAnsi="Arial" w:cs="Arial"/>
          <w:b/>
        </w:rPr>
        <w:t>SE</w:t>
      </w:r>
      <w:r>
        <w:rPr>
          <w:rFonts w:ascii="Arial" w:eastAsia="Arial" w:hAnsi="Arial" w:cs="Arial"/>
          <w:b/>
        </w:rPr>
        <w:t xml:space="preserve"> ACUERDA</w:t>
      </w:r>
      <w:r w:rsidRPr="0096078B">
        <w:rPr>
          <w:rFonts w:ascii="Arial" w:eastAsia="Arial" w:hAnsi="Arial" w:cs="Arial"/>
          <w:b/>
        </w:rPr>
        <w:t>:</w:t>
      </w:r>
    </w:p>
    <w:p w:rsidR="0096078B" w:rsidRPr="0096078B" w:rsidRDefault="0096078B" w:rsidP="0096078B">
      <w:pPr>
        <w:ind w:left="357" w:right="423"/>
        <w:rPr>
          <w:rFonts w:ascii="Arial" w:hAnsi="Arial" w:cs="Arial"/>
          <w:sz w:val="22"/>
          <w:szCs w:val="22"/>
        </w:rPr>
      </w:pPr>
    </w:p>
    <w:p w:rsidR="0096078B" w:rsidRPr="0096078B" w:rsidRDefault="0096078B" w:rsidP="0096078B">
      <w:pPr>
        <w:numPr>
          <w:ilvl w:val="0"/>
          <w:numId w:val="25"/>
        </w:numPr>
        <w:ind w:left="426" w:right="-2" w:hanging="284"/>
        <w:jc w:val="both"/>
        <w:rPr>
          <w:rFonts w:ascii="Arial" w:eastAsia="Arial" w:hAnsi="Arial" w:cs="Arial"/>
        </w:rPr>
      </w:pPr>
      <w:r w:rsidRPr="0096078B">
        <w:rPr>
          <w:rFonts w:ascii="Arial" w:eastAsia="Arial" w:hAnsi="Arial" w:cs="Arial"/>
        </w:rPr>
        <w:t xml:space="preserve">Responder la consulta del oficio </w:t>
      </w:r>
      <w:r w:rsidRPr="0096078B">
        <w:rPr>
          <w:rFonts w:ascii="Arial" w:eastAsia="Calibri" w:hAnsi="Arial" w:cs="Arial"/>
          <w:bCs/>
          <w:lang w:eastAsia="en-US"/>
        </w:rPr>
        <w:t>TIE-525-2018 en los siguientes términos:</w:t>
      </w:r>
    </w:p>
    <w:p w:rsidR="0096078B" w:rsidRPr="0096078B" w:rsidRDefault="0096078B" w:rsidP="0096078B">
      <w:pPr>
        <w:ind w:right="423"/>
        <w:rPr>
          <w:rFonts w:ascii="Arial" w:eastAsia="Arial" w:hAnsi="Arial" w:cs="Arial"/>
        </w:rPr>
      </w:pPr>
    </w:p>
    <w:p w:rsidR="0096078B" w:rsidRPr="0096078B" w:rsidRDefault="0096078B" w:rsidP="0096078B">
      <w:pPr>
        <w:ind w:left="708" w:right="142"/>
        <w:contextualSpacing/>
        <w:jc w:val="both"/>
        <w:rPr>
          <w:rFonts w:ascii="Arial" w:hAnsi="Arial" w:cs="Arial"/>
        </w:rPr>
      </w:pPr>
      <w:r w:rsidRPr="0096078B">
        <w:rPr>
          <w:rFonts w:ascii="Arial" w:hAnsi="Arial" w:cs="Arial"/>
        </w:rPr>
        <w:t xml:space="preserve">La Oficina de Planificación Institucional, es una oficina de asesoría de la Rectoría en los términos que establece el Artículo 71 del Estatuto Orgánico. Por tanto, la persona que ocupe la dirección de la Oficina de Planificación Institucional, no es miembro de oficio de la Asamblea Institucional Plebiscitaria (AIP), y debe ser incluida en los padrones de la AIP, en la misma condición que las otras personas que dirigen las otras oficinas asesoras de la Rectoría; a saber, según lo indicado en el artículo 6, inciso i, del Estatuto Orgánico. </w:t>
      </w:r>
    </w:p>
    <w:p w:rsidR="002B4AA8" w:rsidRPr="0096078B" w:rsidRDefault="002B4AA8" w:rsidP="007742A1">
      <w:pPr>
        <w:jc w:val="both"/>
        <w:rPr>
          <w:rFonts w:ascii="Arial" w:eastAsia="Cambria" w:hAnsi="Arial" w:cs="Arial"/>
          <w:lang w:val="es-CR" w:eastAsia="en-US"/>
        </w:rPr>
      </w:pPr>
    </w:p>
    <w:p w:rsidR="00BB6A5E" w:rsidRPr="0096078B" w:rsidRDefault="00BB6A5E" w:rsidP="0096078B">
      <w:pPr>
        <w:numPr>
          <w:ilvl w:val="0"/>
          <w:numId w:val="25"/>
        </w:numPr>
        <w:ind w:left="426" w:right="-2" w:hanging="284"/>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96078B" w:rsidRDefault="0096078B" w:rsidP="0096078B">
      <w:pPr>
        <w:ind w:right="-91"/>
        <w:jc w:val="both"/>
        <w:rPr>
          <w:rFonts w:ascii="Arial" w:hAnsi="Arial" w:cs="Arial"/>
          <w:b/>
          <w:lang w:val="es-CR"/>
        </w:rPr>
      </w:pPr>
    </w:p>
    <w:p w:rsidR="0096078B" w:rsidRDefault="0096078B" w:rsidP="0096078B">
      <w:pPr>
        <w:ind w:right="-91"/>
        <w:jc w:val="both"/>
        <w:rPr>
          <w:rFonts w:ascii="Arial" w:hAnsi="Arial" w:cs="Arial"/>
          <w:b/>
          <w:lang w:val="es-CR"/>
        </w:rPr>
      </w:pPr>
    </w:p>
    <w:p w:rsidR="00BB6A5E" w:rsidRPr="0096078B" w:rsidRDefault="0096078B" w:rsidP="0096078B">
      <w:pPr>
        <w:ind w:right="-91"/>
        <w:jc w:val="both"/>
        <w:rPr>
          <w:rFonts w:ascii="Arial" w:hAnsi="Arial" w:cs="Arial"/>
          <w:lang w:val="es-CR"/>
        </w:rPr>
      </w:pPr>
      <w:r w:rsidRPr="0096078B">
        <w:rPr>
          <w:rFonts w:ascii="Arial" w:eastAsia="Arial" w:hAnsi="Arial" w:cs="Arial"/>
          <w:b/>
          <w:lang w:val="es-CR"/>
        </w:rPr>
        <w:t>Palabras clave:  Responder – oficio -  TIE-525-2018</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2C0D34"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422299" w:rsidRDefault="00422299"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MAE. Tatiana Fernández Martín, Directora Oficina Planificación Institucional</w:t>
      </w:r>
      <w:bookmarkStart w:id="0" w:name="_GoBack"/>
      <w:bookmarkEnd w:id="0"/>
    </w:p>
    <w:p w:rsidR="004F270B" w:rsidRDefault="00956670" w:rsidP="0096078B">
      <w:pPr>
        <w:jc w:val="both"/>
        <w:rPr>
          <w:rFonts w:ascii="Arial" w:hAnsi="Arial" w:cs="Arial"/>
          <w:b/>
          <w:sz w:val="16"/>
          <w:szCs w:val="16"/>
          <w:lang w:val="es-CR"/>
        </w:rPr>
      </w:pPr>
      <w:r>
        <w:rPr>
          <w:rFonts w:ascii="Arial" w:eastAsia="Cambria" w:hAnsi="Arial" w:cs="Arial"/>
          <w:b/>
          <w:sz w:val="16"/>
          <w:szCs w:val="16"/>
          <w:lang w:val="es-ES_tradnl" w:eastAsia="en-US"/>
        </w:rPr>
        <w:t xml:space="preserve">        </w:t>
      </w:r>
    </w:p>
    <w:p w:rsidR="004F270B" w:rsidRPr="004F270B" w:rsidRDefault="004F270B" w:rsidP="004F270B">
      <w:pPr>
        <w:jc w:val="both"/>
        <w:rPr>
          <w:rFonts w:ascii="Arial" w:eastAsia="Cambria" w:hAnsi="Arial" w:cs="Arial"/>
          <w:b/>
          <w:sz w:val="16"/>
          <w:szCs w:val="16"/>
          <w:lang w:eastAsia="en-US"/>
        </w:rPr>
      </w:pP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A20" w:rsidRDefault="00AF2A20">
      <w:r>
        <w:separator/>
      </w:r>
    </w:p>
  </w:endnote>
  <w:endnote w:type="continuationSeparator" w:id="0">
    <w:p w:rsidR="00AF2A20" w:rsidRDefault="00AF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A20" w:rsidRDefault="00AF2A20">
      <w:r>
        <w:separator/>
      </w:r>
    </w:p>
  </w:footnote>
  <w:footnote w:type="continuationSeparator" w:id="0">
    <w:p w:rsidR="00AF2A20" w:rsidRDefault="00AF2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w:t>
    </w:r>
    <w:r w:rsidR="002A2C01">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xml:space="preserve">, Artículo </w:t>
    </w:r>
    <w:r w:rsidR="00ED1939">
      <w:rPr>
        <w:rFonts w:ascii="Arial" w:eastAsia="Cambria" w:hAnsi="Arial" w:cs="Arial"/>
        <w:i/>
        <w:sz w:val="18"/>
        <w:szCs w:val="18"/>
        <w:lang w:val="es-ES_tradnl" w:eastAsia="x-none"/>
      </w:rPr>
      <w:t>1</w:t>
    </w:r>
    <w:r w:rsidR="0096078B">
      <w:rPr>
        <w:rFonts w:ascii="Arial" w:eastAsia="Cambria" w:hAnsi="Arial" w:cs="Arial"/>
        <w:i/>
        <w:sz w:val="18"/>
        <w:szCs w:val="18"/>
        <w:lang w:val="es-ES_tradnl" w:eastAsia="x-none"/>
      </w:rPr>
      <w:t>6</w:t>
    </w:r>
    <w:r>
      <w:rPr>
        <w:rFonts w:ascii="Arial" w:eastAsia="Cambria" w:hAnsi="Arial" w:cs="Arial"/>
        <w:i/>
        <w:sz w:val="18"/>
        <w:szCs w:val="18"/>
        <w:lang w:val="es-ES_tradnl" w:eastAsia="x-none"/>
      </w:rPr>
      <w:t>,</w:t>
    </w:r>
    <w:r w:rsidR="00C852DC">
      <w:rPr>
        <w:rFonts w:ascii="Arial" w:eastAsia="Cambria" w:hAnsi="Arial" w:cs="Arial"/>
        <w:i/>
        <w:sz w:val="18"/>
        <w:szCs w:val="18"/>
        <w:lang w:val="es-ES_tradnl" w:eastAsia="x-none"/>
      </w:rPr>
      <w:t xml:space="preserve"> de </w:t>
    </w:r>
    <w:r w:rsidR="002A2C01">
      <w:rPr>
        <w:rFonts w:ascii="Arial" w:eastAsia="Cambria" w:hAnsi="Arial" w:cs="Arial"/>
        <w:i/>
        <w:sz w:val="18"/>
        <w:szCs w:val="18"/>
        <w:lang w:val="es-ES_tradnl" w:eastAsia="x-none"/>
      </w:rPr>
      <w:t>22</w:t>
    </w:r>
    <w:r w:rsidR="00C55D84">
      <w:rPr>
        <w:rFonts w:ascii="Arial" w:eastAsia="Cambria" w:hAnsi="Arial" w:cs="Arial"/>
        <w:i/>
        <w:sz w:val="18"/>
        <w:szCs w:val="18"/>
        <w:lang w:val="es-ES_tradnl" w:eastAsia="x-none"/>
      </w:rPr>
      <w:t xml:space="preserve"> de </w:t>
    </w:r>
    <w:r w:rsidR="00C852DC">
      <w:rPr>
        <w:rFonts w:ascii="Arial" w:eastAsia="Cambria" w:hAnsi="Arial" w:cs="Arial"/>
        <w:i/>
        <w:sz w:val="18"/>
        <w:szCs w:val="18"/>
        <w:lang w:val="es-ES_tradnl" w:eastAsia="x-none"/>
      </w:rPr>
      <w:t>agosto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422299">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51DF"/>
    <w:multiLevelType w:val="multilevel"/>
    <w:tmpl w:val="2988C59E"/>
    <w:lvl w:ilvl="0">
      <w:start w:val="1"/>
      <w:numFmt w:val="decimal"/>
      <w:lvlText w:val="%1."/>
      <w:lvlJc w:val="left"/>
      <w:pPr>
        <w:ind w:left="1992" w:firstLine="1632"/>
      </w:pPr>
      <w:rPr>
        <w:b w:val="0"/>
        <w:vertAlign w:val="baseline"/>
      </w:rPr>
    </w:lvl>
    <w:lvl w:ilvl="1">
      <w:start w:val="1"/>
      <w:numFmt w:val="lowerLetter"/>
      <w:lvlText w:val="%2."/>
      <w:lvlJc w:val="left"/>
      <w:pPr>
        <w:ind w:left="2712" w:firstLine="2352"/>
      </w:pPr>
      <w:rPr>
        <w:vertAlign w:val="baseline"/>
      </w:rPr>
    </w:lvl>
    <w:lvl w:ilvl="2">
      <w:start w:val="1"/>
      <w:numFmt w:val="lowerRoman"/>
      <w:lvlText w:val="%3."/>
      <w:lvlJc w:val="right"/>
      <w:pPr>
        <w:ind w:left="3432" w:firstLine="3252"/>
      </w:pPr>
      <w:rPr>
        <w:vertAlign w:val="baseline"/>
      </w:rPr>
    </w:lvl>
    <w:lvl w:ilvl="3">
      <w:start w:val="1"/>
      <w:numFmt w:val="decimal"/>
      <w:lvlText w:val="%4."/>
      <w:lvlJc w:val="left"/>
      <w:pPr>
        <w:ind w:left="4152" w:firstLine="3792"/>
      </w:pPr>
      <w:rPr>
        <w:vertAlign w:val="baseline"/>
      </w:rPr>
    </w:lvl>
    <w:lvl w:ilvl="4">
      <w:start w:val="1"/>
      <w:numFmt w:val="lowerLetter"/>
      <w:lvlText w:val="%5."/>
      <w:lvlJc w:val="left"/>
      <w:pPr>
        <w:ind w:left="4872" w:firstLine="4512"/>
      </w:pPr>
      <w:rPr>
        <w:vertAlign w:val="baseline"/>
      </w:rPr>
    </w:lvl>
    <w:lvl w:ilvl="5">
      <w:start w:val="1"/>
      <w:numFmt w:val="lowerRoman"/>
      <w:lvlText w:val="%6."/>
      <w:lvlJc w:val="right"/>
      <w:pPr>
        <w:ind w:left="5592" w:firstLine="5412"/>
      </w:pPr>
      <w:rPr>
        <w:vertAlign w:val="baseline"/>
      </w:rPr>
    </w:lvl>
    <w:lvl w:ilvl="6">
      <w:start w:val="1"/>
      <w:numFmt w:val="decimal"/>
      <w:lvlText w:val="%7."/>
      <w:lvlJc w:val="left"/>
      <w:pPr>
        <w:ind w:left="6312" w:firstLine="5952"/>
      </w:pPr>
      <w:rPr>
        <w:vertAlign w:val="baseline"/>
      </w:rPr>
    </w:lvl>
    <w:lvl w:ilvl="7">
      <w:start w:val="1"/>
      <w:numFmt w:val="lowerLetter"/>
      <w:lvlText w:val="%8."/>
      <w:lvlJc w:val="left"/>
      <w:pPr>
        <w:ind w:left="7032" w:firstLine="6672"/>
      </w:pPr>
      <w:rPr>
        <w:vertAlign w:val="baseline"/>
      </w:rPr>
    </w:lvl>
    <w:lvl w:ilvl="8">
      <w:start w:val="1"/>
      <w:numFmt w:val="lowerRoman"/>
      <w:lvlText w:val="%9."/>
      <w:lvlJc w:val="right"/>
      <w:pPr>
        <w:ind w:left="7752" w:firstLine="7572"/>
      </w:pPr>
      <w:rPr>
        <w:vertAlign w:val="baseline"/>
      </w:rPr>
    </w:lvl>
  </w:abstractNum>
  <w:abstractNum w:abstractNumId="1" w15:restartNumberingAfterBreak="0">
    <w:nsid w:val="04375723"/>
    <w:multiLevelType w:val="hybridMultilevel"/>
    <w:tmpl w:val="5F7692E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CC47EF"/>
    <w:multiLevelType w:val="hybridMultilevel"/>
    <w:tmpl w:val="54628B28"/>
    <w:lvl w:ilvl="0" w:tplc="E4B0EA54">
      <w:start w:val="1"/>
      <w:numFmt w:val="decimal"/>
      <w:lvlText w:val="%1."/>
      <w:lvlJc w:val="left"/>
      <w:pPr>
        <w:ind w:left="1287" w:hanging="360"/>
      </w:pPr>
      <w:rPr>
        <w:b/>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4"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1DA2001F"/>
    <w:multiLevelType w:val="hybridMultilevel"/>
    <w:tmpl w:val="058886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6275BB8"/>
    <w:multiLevelType w:val="hybridMultilevel"/>
    <w:tmpl w:val="E4DC54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B5814EE"/>
    <w:multiLevelType w:val="hybridMultilevel"/>
    <w:tmpl w:val="D5B41434"/>
    <w:lvl w:ilvl="0" w:tplc="5F28020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30F56EB9"/>
    <w:multiLevelType w:val="multilevel"/>
    <w:tmpl w:val="8F54087C"/>
    <w:lvl w:ilvl="0">
      <w:start w:val="5"/>
      <w:numFmt w:val="lowerLetter"/>
      <w:lvlText w:val="%1."/>
      <w:lvlJc w:val="left"/>
      <w:pPr>
        <w:ind w:left="720" w:firstLine="360"/>
      </w:pPr>
      <w:rPr>
        <w:rFonts w:hint="default"/>
        <w:i w:val="0"/>
        <w:vertAlign w:val="baseline"/>
        <w:lang w:val="es-CR"/>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0"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C332ACF"/>
    <w:multiLevelType w:val="hybridMultilevel"/>
    <w:tmpl w:val="1D80247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2" w15:restartNumberingAfterBreak="0">
    <w:nsid w:val="435E2504"/>
    <w:multiLevelType w:val="hybridMultilevel"/>
    <w:tmpl w:val="4DA047B4"/>
    <w:lvl w:ilvl="0" w:tplc="13A28F4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35E3D92"/>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4"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4E195BF6"/>
    <w:multiLevelType w:val="hybridMultilevel"/>
    <w:tmpl w:val="A4D04B62"/>
    <w:lvl w:ilvl="0" w:tplc="140A0017">
      <w:start w:val="1"/>
      <w:numFmt w:val="lowerLetter"/>
      <w:lvlText w:val="%1)"/>
      <w:lvlJc w:val="left"/>
      <w:pPr>
        <w:ind w:left="720" w:hanging="360"/>
      </w:pPr>
    </w:lvl>
    <w:lvl w:ilvl="1" w:tplc="8006C776">
      <w:start w:val="1"/>
      <w:numFmt w:val="lowerLetter"/>
      <w:lvlText w:val="%2."/>
      <w:lvlJc w:val="left"/>
      <w:pPr>
        <w:ind w:left="1155" w:hanging="75"/>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094582F"/>
    <w:multiLevelType w:val="hybridMultilevel"/>
    <w:tmpl w:val="A6D24310"/>
    <w:lvl w:ilvl="0" w:tplc="140A000F">
      <w:start w:val="1"/>
      <w:numFmt w:val="decimal"/>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18" w15:restartNumberingAfterBreak="0">
    <w:nsid w:val="61F3008E"/>
    <w:multiLevelType w:val="hybridMultilevel"/>
    <w:tmpl w:val="A9965894"/>
    <w:lvl w:ilvl="0" w:tplc="BAE2E2EC">
      <w:start w:val="1"/>
      <w:numFmt w:val="decimal"/>
      <w:lvlText w:val="%1."/>
      <w:lvlJc w:val="left"/>
      <w:pPr>
        <w:ind w:left="752" w:hanging="360"/>
      </w:pPr>
      <w:rPr>
        <w:b/>
      </w:rPr>
    </w:lvl>
    <w:lvl w:ilvl="1" w:tplc="140A0019" w:tentative="1">
      <w:start w:val="1"/>
      <w:numFmt w:val="lowerLetter"/>
      <w:lvlText w:val="%2."/>
      <w:lvlJc w:val="left"/>
      <w:pPr>
        <w:ind w:left="1472" w:hanging="360"/>
      </w:pPr>
    </w:lvl>
    <w:lvl w:ilvl="2" w:tplc="140A001B" w:tentative="1">
      <w:start w:val="1"/>
      <w:numFmt w:val="lowerRoman"/>
      <w:lvlText w:val="%3."/>
      <w:lvlJc w:val="right"/>
      <w:pPr>
        <w:ind w:left="2192" w:hanging="180"/>
      </w:pPr>
    </w:lvl>
    <w:lvl w:ilvl="3" w:tplc="140A000F" w:tentative="1">
      <w:start w:val="1"/>
      <w:numFmt w:val="decimal"/>
      <w:lvlText w:val="%4."/>
      <w:lvlJc w:val="left"/>
      <w:pPr>
        <w:ind w:left="2912" w:hanging="360"/>
      </w:pPr>
    </w:lvl>
    <w:lvl w:ilvl="4" w:tplc="140A0019" w:tentative="1">
      <w:start w:val="1"/>
      <w:numFmt w:val="lowerLetter"/>
      <w:lvlText w:val="%5."/>
      <w:lvlJc w:val="left"/>
      <w:pPr>
        <w:ind w:left="3632" w:hanging="360"/>
      </w:pPr>
    </w:lvl>
    <w:lvl w:ilvl="5" w:tplc="140A001B" w:tentative="1">
      <w:start w:val="1"/>
      <w:numFmt w:val="lowerRoman"/>
      <w:lvlText w:val="%6."/>
      <w:lvlJc w:val="right"/>
      <w:pPr>
        <w:ind w:left="4352" w:hanging="180"/>
      </w:pPr>
    </w:lvl>
    <w:lvl w:ilvl="6" w:tplc="140A000F" w:tentative="1">
      <w:start w:val="1"/>
      <w:numFmt w:val="decimal"/>
      <w:lvlText w:val="%7."/>
      <w:lvlJc w:val="left"/>
      <w:pPr>
        <w:ind w:left="5072" w:hanging="360"/>
      </w:pPr>
    </w:lvl>
    <w:lvl w:ilvl="7" w:tplc="140A0019" w:tentative="1">
      <w:start w:val="1"/>
      <w:numFmt w:val="lowerLetter"/>
      <w:lvlText w:val="%8."/>
      <w:lvlJc w:val="left"/>
      <w:pPr>
        <w:ind w:left="5792" w:hanging="360"/>
      </w:pPr>
    </w:lvl>
    <w:lvl w:ilvl="8" w:tplc="140A001B" w:tentative="1">
      <w:start w:val="1"/>
      <w:numFmt w:val="lowerRoman"/>
      <w:lvlText w:val="%9."/>
      <w:lvlJc w:val="right"/>
      <w:pPr>
        <w:ind w:left="6512" w:hanging="180"/>
      </w:pPr>
    </w:lvl>
  </w:abstractNum>
  <w:abstractNum w:abstractNumId="19" w15:restartNumberingAfterBreak="0">
    <w:nsid w:val="687D414B"/>
    <w:multiLevelType w:val="hybridMultilevel"/>
    <w:tmpl w:val="25E413E8"/>
    <w:lvl w:ilvl="0" w:tplc="0ED41F5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AD37C7A"/>
    <w:multiLevelType w:val="multilevel"/>
    <w:tmpl w:val="81B6B61A"/>
    <w:lvl w:ilvl="0">
      <w:start w:val="1"/>
      <w:numFmt w:val="lowerLetter"/>
      <w:lvlText w:val="%1."/>
      <w:lvlJc w:val="left"/>
      <w:pPr>
        <w:ind w:left="3893" w:firstLine="360"/>
      </w:pPr>
      <w:rPr>
        <w:i/>
        <w:vertAlign w:val="baseline"/>
      </w:rPr>
    </w:lvl>
    <w:lvl w:ilvl="1">
      <w:start w:val="1"/>
      <w:numFmt w:val="lowerLetter"/>
      <w:lvlText w:val="%2."/>
      <w:lvlJc w:val="left"/>
      <w:pPr>
        <w:ind w:left="4613" w:firstLine="1080"/>
      </w:pPr>
      <w:rPr>
        <w:vertAlign w:val="baseline"/>
      </w:rPr>
    </w:lvl>
    <w:lvl w:ilvl="2">
      <w:start w:val="1"/>
      <w:numFmt w:val="lowerRoman"/>
      <w:lvlText w:val="%3."/>
      <w:lvlJc w:val="right"/>
      <w:pPr>
        <w:ind w:left="5333" w:firstLine="1980"/>
      </w:pPr>
      <w:rPr>
        <w:vertAlign w:val="baseline"/>
      </w:rPr>
    </w:lvl>
    <w:lvl w:ilvl="3">
      <w:start w:val="1"/>
      <w:numFmt w:val="decimal"/>
      <w:lvlText w:val="%4."/>
      <w:lvlJc w:val="left"/>
      <w:pPr>
        <w:ind w:left="6053" w:firstLine="2520"/>
      </w:pPr>
      <w:rPr>
        <w:vertAlign w:val="baseline"/>
      </w:rPr>
    </w:lvl>
    <w:lvl w:ilvl="4">
      <w:start w:val="1"/>
      <w:numFmt w:val="lowerLetter"/>
      <w:lvlText w:val="%5."/>
      <w:lvlJc w:val="left"/>
      <w:pPr>
        <w:ind w:left="6773" w:firstLine="3240"/>
      </w:pPr>
      <w:rPr>
        <w:vertAlign w:val="baseline"/>
      </w:rPr>
    </w:lvl>
    <w:lvl w:ilvl="5">
      <w:start w:val="1"/>
      <w:numFmt w:val="lowerRoman"/>
      <w:lvlText w:val="%6."/>
      <w:lvlJc w:val="right"/>
      <w:pPr>
        <w:ind w:left="7493" w:firstLine="4140"/>
      </w:pPr>
      <w:rPr>
        <w:vertAlign w:val="baseline"/>
      </w:rPr>
    </w:lvl>
    <w:lvl w:ilvl="6">
      <w:start w:val="1"/>
      <w:numFmt w:val="decimal"/>
      <w:lvlText w:val="%7."/>
      <w:lvlJc w:val="left"/>
      <w:pPr>
        <w:ind w:left="8213" w:firstLine="4680"/>
      </w:pPr>
      <w:rPr>
        <w:vertAlign w:val="baseline"/>
      </w:rPr>
    </w:lvl>
    <w:lvl w:ilvl="7">
      <w:start w:val="1"/>
      <w:numFmt w:val="lowerLetter"/>
      <w:lvlText w:val="%8."/>
      <w:lvlJc w:val="left"/>
      <w:pPr>
        <w:ind w:left="8933" w:firstLine="5400"/>
      </w:pPr>
      <w:rPr>
        <w:vertAlign w:val="baseline"/>
      </w:rPr>
    </w:lvl>
    <w:lvl w:ilvl="8">
      <w:start w:val="1"/>
      <w:numFmt w:val="lowerRoman"/>
      <w:lvlText w:val="%9."/>
      <w:lvlJc w:val="right"/>
      <w:pPr>
        <w:ind w:left="9653" w:firstLine="6300"/>
      </w:pPr>
      <w:rPr>
        <w:vertAlign w:val="baseline"/>
      </w:rPr>
    </w:lvl>
  </w:abstractNum>
  <w:abstractNum w:abstractNumId="21"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23E15B1"/>
    <w:multiLevelType w:val="hybridMultilevel"/>
    <w:tmpl w:val="A1F0DE66"/>
    <w:lvl w:ilvl="0" w:tplc="7696D67A">
      <w:start w:val="1"/>
      <w:numFmt w:val="lowerLetter"/>
      <w:lvlText w:val="%1."/>
      <w:lvlJc w:val="left"/>
      <w:pPr>
        <w:ind w:left="717" w:hanging="360"/>
      </w:pPr>
      <w:rPr>
        <w:b/>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23" w15:restartNumberingAfterBreak="0">
    <w:nsid w:val="7713603E"/>
    <w:multiLevelType w:val="hybridMultilevel"/>
    <w:tmpl w:val="B810DCA6"/>
    <w:lvl w:ilvl="0" w:tplc="532AE9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AF73062"/>
    <w:multiLevelType w:val="hybridMultilevel"/>
    <w:tmpl w:val="CD9429B6"/>
    <w:lvl w:ilvl="0" w:tplc="60B21C56">
      <w:start w:val="1"/>
      <w:numFmt w:val="lowerLetter"/>
      <w:lvlText w:val="%1."/>
      <w:lvlJc w:val="left"/>
      <w:pPr>
        <w:ind w:left="360" w:hanging="360"/>
      </w:pPr>
      <w:rPr>
        <w:b/>
        <w:i w:val="0"/>
        <w:strike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B802659"/>
    <w:multiLevelType w:val="hybridMultilevel"/>
    <w:tmpl w:val="B9545FB8"/>
    <w:lvl w:ilvl="0" w:tplc="B0B6E75A">
      <w:start w:val="2"/>
      <w:numFmt w:val="lowerLetter"/>
      <w:lvlText w:val="%1."/>
      <w:lvlJc w:val="left"/>
      <w:pPr>
        <w:ind w:left="144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ECE0380"/>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25"/>
  </w:num>
  <w:num w:numId="3">
    <w:abstractNumId w:val="11"/>
  </w:num>
  <w:num w:numId="4">
    <w:abstractNumId w:val="17"/>
  </w:num>
  <w:num w:numId="5">
    <w:abstractNumId w:val="1"/>
  </w:num>
  <w:num w:numId="6">
    <w:abstractNumId w:val="12"/>
  </w:num>
  <w:num w:numId="7">
    <w:abstractNumId w:val="27"/>
  </w:num>
  <w:num w:numId="8">
    <w:abstractNumId w:val="26"/>
  </w:num>
  <w:num w:numId="9">
    <w:abstractNumId w:val="13"/>
  </w:num>
  <w:num w:numId="10">
    <w:abstractNumId w:val="7"/>
  </w:num>
  <w:num w:numId="11">
    <w:abstractNumId w:val="23"/>
  </w:num>
  <w:num w:numId="12">
    <w:abstractNumId w:val="24"/>
  </w:num>
  <w:num w:numId="13">
    <w:abstractNumId w:val="3"/>
  </w:num>
  <w:num w:numId="14">
    <w:abstractNumId w:val="6"/>
  </w:num>
  <w:num w:numId="15">
    <w:abstractNumId w:val="5"/>
  </w:num>
  <w:num w:numId="16">
    <w:abstractNumId w:val="15"/>
  </w:num>
  <w:num w:numId="17">
    <w:abstractNumId w:val="14"/>
  </w:num>
  <w:num w:numId="18">
    <w:abstractNumId w:val="19"/>
  </w:num>
  <w:num w:numId="19">
    <w:abstractNumId w:val="18"/>
  </w:num>
  <w:num w:numId="20">
    <w:abstractNumId w:val="21"/>
  </w:num>
  <w:num w:numId="21">
    <w:abstractNumId w:val="10"/>
  </w:num>
  <w:num w:numId="22">
    <w:abstractNumId w:val="16"/>
  </w:num>
  <w:num w:numId="23">
    <w:abstractNumId w:val="8"/>
  </w:num>
  <w:num w:numId="24">
    <w:abstractNumId w:val="4"/>
  </w:num>
  <w:num w:numId="25">
    <w:abstractNumId w:val="22"/>
  </w:num>
  <w:num w:numId="26">
    <w:abstractNumId w:val="20"/>
  </w:num>
  <w:num w:numId="27">
    <w:abstractNumId w:val="0"/>
  </w:num>
  <w:num w:numId="2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AB8"/>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05B5"/>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2C01"/>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5BF"/>
    <w:rsid w:val="003C0783"/>
    <w:rsid w:val="003C19D5"/>
    <w:rsid w:val="003C1FAB"/>
    <w:rsid w:val="003C2706"/>
    <w:rsid w:val="003C3290"/>
    <w:rsid w:val="003C388C"/>
    <w:rsid w:val="003C5FFE"/>
    <w:rsid w:val="003C6ED7"/>
    <w:rsid w:val="003D2633"/>
    <w:rsid w:val="003D29D8"/>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299"/>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26D"/>
    <w:rsid w:val="004C568E"/>
    <w:rsid w:val="004C5B2A"/>
    <w:rsid w:val="004C5DDD"/>
    <w:rsid w:val="004D0616"/>
    <w:rsid w:val="004D0B7A"/>
    <w:rsid w:val="004D0E9A"/>
    <w:rsid w:val="004D19F3"/>
    <w:rsid w:val="004D2D67"/>
    <w:rsid w:val="004D3777"/>
    <w:rsid w:val="004D5B06"/>
    <w:rsid w:val="004D6CA2"/>
    <w:rsid w:val="004E113A"/>
    <w:rsid w:val="004E1FC9"/>
    <w:rsid w:val="004E23CB"/>
    <w:rsid w:val="004E3D7B"/>
    <w:rsid w:val="004E6438"/>
    <w:rsid w:val="004E65FB"/>
    <w:rsid w:val="004E6E23"/>
    <w:rsid w:val="004E7D9D"/>
    <w:rsid w:val="004F270B"/>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91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46DEC"/>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0BF8"/>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5AFA"/>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526A4"/>
    <w:rsid w:val="00953265"/>
    <w:rsid w:val="00953CA5"/>
    <w:rsid w:val="009546D0"/>
    <w:rsid w:val="009561A9"/>
    <w:rsid w:val="00956670"/>
    <w:rsid w:val="0096004A"/>
    <w:rsid w:val="0096078B"/>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2A20"/>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852D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F63084"/>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D6852-E392-4988-AB24-87D7F1FF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1557</Words>
  <Characters>8565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41</cp:revision>
  <cp:lastPrinted>2018-08-22T20:14:00Z</cp:lastPrinted>
  <dcterms:created xsi:type="dcterms:W3CDTF">2018-05-02T21:37:00Z</dcterms:created>
  <dcterms:modified xsi:type="dcterms:W3CDTF">2018-08-23T16:13:00Z</dcterms:modified>
</cp:coreProperties>
</file>