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8D5671">
        <w:rPr>
          <w:rFonts w:ascii="Arial" w:hAnsi="Arial" w:cs="Arial"/>
          <w:b/>
          <w:bCs/>
          <w:iCs/>
          <w:sz w:val="26"/>
          <w:szCs w:val="22"/>
          <w:lang w:val="es-CR"/>
        </w:rPr>
        <w:t>603</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59" w:type="dxa"/>
        <w:tblInd w:w="108" w:type="dxa"/>
        <w:tblLayout w:type="fixed"/>
        <w:tblLook w:val="01E0" w:firstRow="1" w:lastRow="1" w:firstColumn="1" w:lastColumn="1" w:noHBand="0" w:noVBand="0"/>
      </w:tblPr>
      <w:tblGrid>
        <w:gridCol w:w="1317"/>
        <w:gridCol w:w="7642"/>
      </w:tblGrid>
      <w:tr w:rsidR="007742A1" w:rsidRPr="009561A9" w:rsidTr="008D5671">
        <w:trPr>
          <w:trHeight w:val="570"/>
        </w:trPr>
        <w:tc>
          <w:tcPr>
            <w:tcW w:w="1317"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42" w:type="dxa"/>
          </w:tcPr>
          <w:p w:rsidR="00995F34" w:rsidRDefault="00F52439"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8D5671" w:rsidRDefault="008D5671"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MAU. Tatiana Fernández Martín, Directora Oficina de Planificación Institucional</w:t>
            </w:r>
          </w:p>
          <w:p w:rsidR="00F34469" w:rsidRPr="008E0D8C" w:rsidRDefault="00F34469" w:rsidP="00C33677">
            <w:pPr>
              <w:jc w:val="both"/>
              <w:rPr>
                <w:rFonts w:ascii="Arial" w:eastAsia="Cambria" w:hAnsi="Arial" w:cs="Arial"/>
                <w:sz w:val="22"/>
                <w:szCs w:val="22"/>
                <w:lang w:val="es-ES_tradnl" w:eastAsia="en-US"/>
              </w:rPr>
            </w:pPr>
          </w:p>
        </w:tc>
      </w:tr>
      <w:tr w:rsidR="007742A1" w:rsidRPr="00D958BC" w:rsidTr="008D5671">
        <w:trPr>
          <w:trHeight w:val="560"/>
        </w:trPr>
        <w:tc>
          <w:tcPr>
            <w:tcW w:w="1317"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42" w:type="dxa"/>
          </w:tcPr>
          <w:p w:rsidR="00841F61" w:rsidRPr="008E0D8C" w:rsidRDefault="00C55D84" w:rsidP="00841F61">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M</w:t>
            </w:r>
            <w:r w:rsidR="003859C1" w:rsidRPr="008E0D8C">
              <w:rPr>
                <w:rFonts w:ascii="Arial" w:eastAsia="Cambria" w:hAnsi="Arial" w:cs="Arial"/>
                <w:sz w:val="22"/>
                <w:szCs w:val="22"/>
                <w:lang w:val="es-ES_tradnl" w:eastAsia="en-US"/>
              </w:rPr>
              <w:t>.A.E.</w:t>
            </w:r>
            <w:r w:rsidRPr="008E0D8C">
              <w:rPr>
                <w:rFonts w:ascii="Arial" w:eastAsia="Cambria" w:hAnsi="Arial" w:cs="Arial"/>
                <w:sz w:val="22"/>
                <w:szCs w:val="22"/>
                <w:lang w:val="es-ES_tradnl" w:eastAsia="en-US"/>
              </w:rPr>
              <w:t xml:space="preserve"> Ana Damaris Quesada Murillo</w:t>
            </w:r>
            <w:r w:rsidR="00841F61" w:rsidRPr="008E0D8C">
              <w:rPr>
                <w:rFonts w:ascii="Arial" w:eastAsia="Cambria" w:hAnsi="Arial" w:cs="Arial"/>
                <w:sz w:val="22"/>
                <w:szCs w:val="22"/>
                <w:lang w:val="es-ES_tradnl" w:eastAsia="en-US"/>
              </w:rPr>
              <w:t>, Directora Ejecutiva</w:t>
            </w:r>
          </w:p>
          <w:p w:rsidR="007742A1" w:rsidRPr="008E0D8C" w:rsidRDefault="00880D5D" w:rsidP="00AC372A">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 xml:space="preserve">Secretaría del </w:t>
            </w:r>
            <w:r w:rsidR="00841F61" w:rsidRPr="008E0D8C">
              <w:rPr>
                <w:rFonts w:ascii="Arial" w:eastAsia="Cambria" w:hAnsi="Arial" w:cs="Arial"/>
                <w:sz w:val="22"/>
                <w:szCs w:val="22"/>
                <w:lang w:val="es-ES_tradnl" w:eastAsia="en-US"/>
              </w:rPr>
              <w:t>Consejo Institucional</w:t>
            </w:r>
          </w:p>
        </w:tc>
      </w:tr>
      <w:tr w:rsidR="007742A1" w:rsidRPr="00D958BC" w:rsidTr="008D5671">
        <w:trPr>
          <w:trHeight w:val="243"/>
        </w:trPr>
        <w:tc>
          <w:tcPr>
            <w:tcW w:w="1317"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42"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C33677"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16</w:t>
            </w:r>
            <w:r w:rsidR="00C001DF" w:rsidRPr="008E0D8C">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 xml:space="preserve">de </w:t>
            </w:r>
            <w:r w:rsidR="004C4D5D">
              <w:rPr>
                <w:rFonts w:ascii="Arial" w:eastAsia="Cambria" w:hAnsi="Arial" w:cs="Arial"/>
                <w:b/>
                <w:sz w:val="22"/>
                <w:szCs w:val="22"/>
                <w:lang w:val="es-ES_tradnl" w:eastAsia="en-US"/>
              </w:rPr>
              <w:t>agosto</w:t>
            </w:r>
            <w:r w:rsidR="007742A1" w:rsidRPr="008E0D8C">
              <w:rPr>
                <w:rFonts w:ascii="Arial" w:eastAsia="Cambria" w:hAnsi="Arial" w:cs="Arial"/>
                <w:b/>
                <w:sz w:val="22"/>
                <w:szCs w:val="22"/>
                <w:lang w:val="es-ES_tradnl" w:eastAsia="en-US"/>
              </w:rPr>
              <w:t xml:space="preserve"> 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8D5671">
        <w:trPr>
          <w:trHeight w:val="243"/>
        </w:trPr>
        <w:tc>
          <w:tcPr>
            <w:tcW w:w="1317"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42" w:type="dxa"/>
          </w:tcPr>
          <w:p w:rsidR="00821E37" w:rsidRPr="008D5671" w:rsidRDefault="00FF209C" w:rsidP="00E23B3B">
            <w:pPr>
              <w:ind w:left="-74"/>
              <w:jc w:val="both"/>
              <w:rPr>
                <w:rFonts w:ascii="Arial" w:eastAsia="Calibri" w:hAnsi="Arial" w:cs="Arial"/>
                <w:b/>
                <w:bCs/>
                <w:color w:val="000000"/>
                <w:sz w:val="22"/>
                <w:szCs w:val="22"/>
                <w:lang w:val="es-CR" w:eastAsia="en-US"/>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005A3172">
              <w:rPr>
                <w:rFonts w:ascii="Arial" w:eastAsia="Calibri" w:hAnsi="Arial" w:cs="Arial"/>
                <w:b/>
                <w:sz w:val="22"/>
                <w:szCs w:val="22"/>
              </w:rPr>
              <w:t>8</w:t>
            </w:r>
            <w:r w:rsidR="00C33677">
              <w:rPr>
                <w:rFonts w:ascii="Arial" w:eastAsia="Calibri" w:hAnsi="Arial" w:cs="Arial"/>
                <w:b/>
                <w:sz w:val="22"/>
                <w:szCs w:val="22"/>
              </w:rPr>
              <w:t>3</w:t>
            </w:r>
            <w:r w:rsidR="007742A1" w:rsidRPr="00FF209C">
              <w:rPr>
                <w:rFonts w:ascii="Arial" w:eastAsia="Calibri" w:hAnsi="Arial" w:cs="Arial"/>
                <w:b/>
                <w:sz w:val="22"/>
                <w:szCs w:val="22"/>
              </w:rPr>
              <w:t>, Artículo</w:t>
            </w:r>
            <w:r w:rsidR="00925985" w:rsidRPr="00FF209C">
              <w:rPr>
                <w:rFonts w:ascii="Arial" w:eastAsia="Calibri" w:hAnsi="Arial" w:cs="Arial"/>
                <w:b/>
                <w:sz w:val="22"/>
                <w:szCs w:val="22"/>
              </w:rPr>
              <w:t xml:space="preserve"> </w:t>
            </w:r>
            <w:r w:rsidR="00E23B3B">
              <w:rPr>
                <w:rFonts w:ascii="Arial" w:eastAsia="Calibri" w:hAnsi="Arial" w:cs="Arial"/>
                <w:b/>
                <w:sz w:val="22"/>
                <w:szCs w:val="22"/>
              </w:rPr>
              <w:t>10</w:t>
            </w:r>
            <w:bookmarkStart w:id="0" w:name="_GoBack"/>
            <w:bookmarkEnd w:id="0"/>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C33677">
              <w:rPr>
                <w:rFonts w:ascii="Arial" w:eastAsia="Calibri" w:hAnsi="Arial" w:cs="Arial"/>
                <w:b/>
                <w:sz w:val="22"/>
                <w:szCs w:val="22"/>
              </w:rPr>
              <w:t>16</w:t>
            </w:r>
            <w:r w:rsidR="001E1E49">
              <w:rPr>
                <w:rFonts w:ascii="Arial" w:eastAsia="Calibri" w:hAnsi="Arial" w:cs="Arial"/>
                <w:b/>
                <w:sz w:val="22"/>
                <w:szCs w:val="22"/>
              </w:rPr>
              <w:t xml:space="preserve"> </w:t>
            </w:r>
            <w:r w:rsidR="000A0FF7">
              <w:rPr>
                <w:rFonts w:ascii="Arial" w:eastAsia="Calibri" w:hAnsi="Arial" w:cs="Arial"/>
                <w:b/>
                <w:sz w:val="22"/>
                <w:szCs w:val="22"/>
              </w:rPr>
              <w:t xml:space="preserve">de </w:t>
            </w:r>
            <w:r w:rsidR="004C4D5D">
              <w:rPr>
                <w:rFonts w:ascii="Arial" w:eastAsia="Calibri" w:hAnsi="Arial" w:cs="Arial"/>
                <w:b/>
                <w:sz w:val="22"/>
                <w:szCs w:val="22"/>
              </w:rPr>
              <w:t>agosto</w:t>
            </w:r>
            <w:r w:rsidR="000A0FF7">
              <w:rPr>
                <w:rFonts w:ascii="Arial" w:eastAsia="Calibri" w:hAnsi="Arial" w:cs="Arial"/>
                <w:b/>
                <w:sz w:val="22"/>
                <w:szCs w:val="22"/>
              </w:rPr>
              <w:t xml:space="preserve">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8D5671" w:rsidRPr="008D5671">
              <w:rPr>
                <w:rFonts w:ascii="Arial" w:eastAsia="Calibri" w:hAnsi="Arial" w:cs="Arial"/>
                <w:b/>
                <w:color w:val="000000"/>
                <w:sz w:val="22"/>
                <w:szCs w:val="22"/>
                <w:lang w:val="es-CR" w:eastAsia="en-US"/>
              </w:rPr>
              <w:t xml:space="preserve">Solicitud a la Oficina de Planificación de estudio técnico para la    categorización de Unidades Administrativas creadas por el Consejo Institucional y que aún no están categorizadas. </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8D5671" w:rsidRDefault="008D5671" w:rsidP="007742A1">
      <w:pPr>
        <w:jc w:val="both"/>
        <w:rPr>
          <w:rFonts w:ascii="Arial" w:eastAsia="Cambria" w:hAnsi="Arial" w:cs="Arial"/>
          <w:lang w:val="es-ES_tradnl" w:eastAsia="en-US"/>
        </w:rPr>
      </w:pPr>
    </w:p>
    <w:p w:rsidR="008D5671" w:rsidRPr="008D5671" w:rsidRDefault="008D5671" w:rsidP="008D5671">
      <w:pPr>
        <w:jc w:val="both"/>
        <w:outlineLvl w:val="0"/>
        <w:rPr>
          <w:rFonts w:ascii="Arial" w:eastAsia="Cambria" w:hAnsi="Arial" w:cs="Arial"/>
          <w:b/>
          <w:color w:val="000000"/>
          <w:lang w:val="es-CR" w:eastAsia="en-US"/>
        </w:rPr>
      </w:pPr>
      <w:r w:rsidRPr="008D5671">
        <w:rPr>
          <w:rFonts w:ascii="Arial" w:eastAsia="Cambria" w:hAnsi="Arial" w:cs="Arial"/>
          <w:b/>
          <w:color w:val="000000"/>
          <w:lang w:val="es-CR" w:eastAsia="en-US"/>
        </w:rPr>
        <w:t>RESULTANDO QUE:</w:t>
      </w:r>
    </w:p>
    <w:p w:rsidR="008D5671" w:rsidRPr="008D5671" w:rsidRDefault="008D5671" w:rsidP="008D5671">
      <w:pPr>
        <w:jc w:val="both"/>
        <w:outlineLvl w:val="0"/>
        <w:rPr>
          <w:rFonts w:ascii="Arial" w:eastAsia="Cambria" w:hAnsi="Arial" w:cs="Arial"/>
          <w:b/>
          <w:color w:val="000000"/>
          <w:lang w:val="es-CR" w:eastAsia="en-US"/>
        </w:rPr>
      </w:pPr>
    </w:p>
    <w:p w:rsidR="008D5671" w:rsidRPr="008D5671" w:rsidRDefault="008D5671" w:rsidP="008D5671">
      <w:pPr>
        <w:numPr>
          <w:ilvl w:val="0"/>
          <w:numId w:val="27"/>
        </w:numPr>
        <w:jc w:val="both"/>
        <w:rPr>
          <w:rFonts w:ascii="Arial" w:eastAsia="Calibri" w:hAnsi="Arial" w:cs="Arial"/>
          <w:b/>
          <w:color w:val="000000"/>
          <w:lang w:val="es-CR" w:eastAsia="en-US"/>
        </w:rPr>
      </w:pPr>
      <w:r w:rsidRPr="008D5671">
        <w:rPr>
          <w:rFonts w:ascii="Arial" w:eastAsia="Calibri" w:hAnsi="Arial" w:cs="Arial"/>
          <w:bCs/>
          <w:color w:val="000000"/>
          <w:lang w:val="es-CR" w:eastAsia="en-US"/>
        </w:rPr>
        <w:t xml:space="preserve">De acuerdo con el artículo 18, inciso e, del Estatuto Orgánico del ITCR, </w:t>
      </w:r>
      <w:r w:rsidRPr="008D5671">
        <w:rPr>
          <w:rFonts w:ascii="Arial" w:eastAsia="Calibri" w:hAnsi="Arial" w:cs="Arial"/>
          <w:color w:val="000000"/>
          <w:lang w:val="es-CR" w:eastAsia="en-US"/>
        </w:rPr>
        <w:t xml:space="preserve">es función del Consejo Institucional “Crear, fusionar, modificar, trasladar o eliminar departamentos u otras unidades de igual o superior jerarquía…” </w:t>
      </w:r>
    </w:p>
    <w:p w:rsidR="008D5671" w:rsidRPr="008D5671" w:rsidRDefault="008D5671" w:rsidP="008D5671">
      <w:pPr>
        <w:ind w:left="284"/>
        <w:jc w:val="both"/>
        <w:rPr>
          <w:rFonts w:ascii="Arial" w:eastAsia="Calibri" w:hAnsi="Arial" w:cs="Arial"/>
          <w:b/>
          <w:color w:val="000000"/>
          <w:lang w:val="es-CR" w:eastAsia="en-US"/>
        </w:rPr>
      </w:pPr>
    </w:p>
    <w:p w:rsidR="008D5671" w:rsidRPr="008D5671" w:rsidRDefault="008D5671" w:rsidP="008D5671">
      <w:pPr>
        <w:numPr>
          <w:ilvl w:val="0"/>
          <w:numId w:val="27"/>
        </w:numPr>
        <w:jc w:val="both"/>
        <w:rPr>
          <w:rFonts w:ascii="Arial" w:hAnsi="Arial" w:cs="Arial"/>
          <w:b/>
          <w:color w:val="000000"/>
          <w:sz w:val="20"/>
          <w:szCs w:val="20"/>
          <w:lang w:val="es-CR"/>
        </w:rPr>
      </w:pPr>
      <w:r w:rsidRPr="008D5671">
        <w:rPr>
          <w:rFonts w:ascii="Arial" w:hAnsi="Arial" w:cs="Arial"/>
          <w:bCs/>
          <w:color w:val="000000"/>
          <w:lang w:val="es-CR"/>
        </w:rPr>
        <w:t>Los artículos 5 Bis y 13, los Transitorios 4 y 5 del Reglamento de Creación, Modificación y Eliminación de Unidades en Departamentos del ITCR, en lo que interesa, señalan lo siguiente</w:t>
      </w:r>
      <w:r w:rsidRPr="008D5671">
        <w:rPr>
          <w:rFonts w:ascii="Arial" w:hAnsi="Arial" w:cs="Arial"/>
          <w:i/>
          <w:color w:val="000000"/>
          <w:sz w:val="20"/>
          <w:szCs w:val="20"/>
          <w:lang w:val="es-CR"/>
        </w:rPr>
        <w:t>:</w:t>
      </w:r>
    </w:p>
    <w:p w:rsidR="008D5671" w:rsidRPr="008D5671" w:rsidRDefault="008D5671" w:rsidP="008D5671">
      <w:pPr>
        <w:ind w:left="993" w:right="333" w:hanging="284"/>
        <w:jc w:val="both"/>
        <w:rPr>
          <w:rFonts w:ascii="Arial" w:eastAsia="Calibri" w:hAnsi="Arial" w:cs="Arial"/>
          <w:b/>
          <w:color w:val="000000"/>
          <w:sz w:val="22"/>
          <w:szCs w:val="22"/>
          <w:lang w:val="es-CR" w:eastAsia="en-US"/>
        </w:rPr>
      </w:pPr>
    </w:p>
    <w:p w:rsidR="008D5671" w:rsidRPr="008D5671" w:rsidRDefault="008D5671" w:rsidP="008D5671">
      <w:pPr>
        <w:ind w:left="567" w:right="333"/>
        <w:jc w:val="both"/>
        <w:rPr>
          <w:rFonts w:ascii="Arial" w:eastAsia="Calibri" w:hAnsi="Arial" w:cs="Arial"/>
          <w:i/>
          <w:color w:val="000000"/>
          <w:sz w:val="22"/>
          <w:szCs w:val="22"/>
          <w:lang w:val="es-CR" w:eastAsia="es-CR"/>
        </w:rPr>
      </w:pPr>
      <w:r w:rsidRPr="008D5671">
        <w:rPr>
          <w:rFonts w:ascii="Arial" w:eastAsia="Calibri" w:hAnsi="Arial" w:cs="Arial"/>
          <w:b/>
          <w:bCs/>
          <w:i/>
          <w:color w:val="000000"/>
          <w:sz w:val="22"/>
          <w:szCs w:val="22"/>
          <w:lang w:val="es-CR" w:eastAsia="es-CR"/>
        </w:rPr>
        <w:t>Artículo 5 BIS</w:t>
      </w:r>
    </w:p>
    <w:p w:rsidR="008D5671" w:rsidRPr="008D5671" w:rsidRDefault="008D5671" w:rsidP="008D5671">
      <w:pPr>
        <w:ind w:left="567" w:right="333"/>
        <w:jc w:val="both"/>
        <w:rPr>
          <w:rFonts w:ascii="Arial" w:eastAsia="Calibri" w:hAnsi="Arial" w:cs="Arial"/>
          <w:i/>
          <w:color w:val="000000"/>
          <w:sz w:val="22"/>
          <w:szCs w:val="22"/>
          <w:lang w:val="es-CR" w:eastAsia="es-CR"/>
        </w:rPr>
      </w:pPr>
      <w:r w:rsidRPr="008D5671">
        <w:rPr>
          <w:rFonts w:ascii="Arial" w:eastAsia="Calibri" w:hAnsi="Arial" w:cs="Arial"/>
          <w:i/>
          <w:color w:val="000000"/>
          <w:sz w:val="22"/>
          <w:szCs w:val="22"/>
          <w:lang w:val="es-CR" w:eastAsia="es-CR"/>
        </w:rPr>
        <w:t>La categoría de las unidades en Departamentos del ITCR será evaluada y definida mediante un estudio realizado al efecto por la Oficina de Planificación Institucional.  En el caso de las Unidades de Departamentos académicos contempladas en el artículo 5, no será necesario el estudio técnico y les corresponderá la categoría tres o cuatro, según corresponda. De igual manera, en caso de que exista alguna unidad en un Departamento académico creada con el mismo propósito que la unidad que se pretende categorizar no será necesario el estudio técnico, sino que se asignará la categoría de la unidad existente por un procedimiento denominado de homologación.</w:t>
      </w:r>
    </w:p>
    <w:p w:rsidR="008D5671" w:rsidRPr="008D5671" w:rsidRDefault="008D5671" w:rsidP="008D5671">
      <w:pPr>
        <w:ind w:left="567" w:right="333"/>
        <w:jc w:val="both"/>
        <w:rPr>
          <w:rFonts w:ascii="Arial" w:eastAsia="Calibri" w:hAnsi="Arial" w:cs="Arial"/>
          <w:i/>
          <w:color w:val="000000"/>
          <w:sz w:val="22"/>
          <w:szCs w:val="22"/>
          <w:lang w:val="es-CR" w:eastAsia="es-CR"/>
        </w:rPr>
      </w:pPr>
      <w:r w:rsidRPr="008D5671">
        <w:rPr>
          <w:rFonts w:ascii="Arial" w:eastAsia="Calibri" w:hAnsi="Arial" w:cs="Arial"/>
          <w:i/>
          <w:color w:val="000000"/>
          <w:sz w:val="22"/>
          <w:szCs w:val="22"/>
          <w:lang w:val="es-CR" w:eastAsia="es-CR"/>
        </w:rPr>
        <w:t>Este estudio se realizará a solicitud del consejo de departamento al que pertenece la unidad, al menos tres meses antes de finalizar el nombramiento del coordinador, solamente cuando se presenten cambios significativos en alguno de los siguientes aspectos:</w:t>
      </w:r>
    </w:p>
    <w:p w:rsidR="008D5671" w:rsidRPr="008D5671" w:rsidRDefault="008D5671" w:rsidP="008D5671">
      <w:pPr>
        <w:ind w:left="567" w:right="333"/>
        <w:jc w:val="both"/>
        <w:rPr>
          <w:rFonts w:ascii="Arial" w:eastAsia="Calibri" w:hAnsi="Arial" w:cs="Arial"/>
          <w:i/>
          <w:color w:val="000000"/>
          <w:sz w:val="22"/>
          <w:szCs w:val="22"/>
          <w:lang w:val="es-CR" w:eastAsia="es-CR"/>
        </w:rPr>
      </w:pPr>
      <w:r w:rsidRPr="008D5671">
        <w:rPr>
          <w:rFonts w:ascii="Arial" w:eastAsia="Calibri" w:hAnsi="Arial" w:cs="Arial"/>
          <w:i/>
          <w:color w:val="000000"/>
          <w:sz w:val="22"/>
          <w:szCs w:val="22"/>
          <w:lang w:val="es-CR" w:eastAsia="es-CR"/>
        </w:rPr>
        <w:t>a. Cambio en la naturaleza de las funciones realizadas por la unidad</w:t>
      </w:r>
    </w:p>
    <w:p w:rsidR="008D5671" w:rsidRPr="008D5671" w:rsidRDefault="008D5671" w:rsidP="008D5671">
      <w:pPr>
        <w:ind w:left="567" w:right="333"/>
        <w:jc w:val="both"/>
        <w:rPr>
          <w:rFonts w:ascii="Arial" w:eastAsia="Calibri" w:hAnsi="Arial" w:cs="Arial"/>
          <w:i/>
          <w:color w:val="000000"/>
          <w:sz w:val="22"/>
          <w:szCs w:val="22"/>
          <w:lang w:val="es-CR" w:eastAsia="es-CR"/>
        </w:rPr>
      </w:pPr>
      <w:r w:rsidRPr="008D5671">
        <w:rPr>
          <w:rFonts w:ascii="Arial" w:eastAsia="Calibri" w:hAnsi="Arial" w:cs="Arial"/>
          <w:i/>
          <w:color w:val="000000"/>
          <w:sz w:val="22"/>
          <w:szCs w:val="22"/>
          <w:lang w:val="es-CR" w:eastAsia="es-CR"/>
        </w:rPr>
        <w:t>b. Cambio en el nivel de formación o especialización de los integrantes de la unidad para el cumplimiento de los objetivos de ésta.</w:t>
      </w:r>
    </w:p>
    <w:p w:rsidR="008D5671" w:rsidRPr="008D5671" w:rsidRDefault="008D5671" w:rsidP="008D5671">
      <w:pPr>
        <w:ind w:left="567" w:right="333"/>
        <w:jc w:val="both"/>
        <w:rPr>
          <w:rFonts w:ascii="Arial" w:eastAsia="Calibri" w:hAnsi="Arial" w:cs="Arial"/>
          <w:i/>
          <w:color w:val="000000"/>
          <w:sz w:val="22"/>
          <w:szCs w:val="22"/>
          <w:lang w:val="es-CR" w:eastAsia="es-CR"/>
        </w:rPr>
      </w:pPr>
      <w:r w:rsidRPr="008D5671">
        <w:rPr>
          <w:rFonts w:ascii="Arial" w:eastAsia="Calibri" w:hAnsi="Arial" w:cs="Arial"/>
          <w:i/>
          <w:color w:val="000000"/>
          <w:sz w:val="22"/>
          <w:szCs w:val="22"/>
          <w:lang w:val="es-CR" w:eastAsia="es-CR"/>
        </w:rPr>
        <w:t>c. Cambio en el volumen de tareas realizadas por la unidad.</w:t>
      </w:r>
    </w:p>
    <w:p w:rsidR="008D5671" w:rsidRPr="008D5671" w:rsidRDefault="008D5671" w:rsidP="008D5671">
      <w:pPr>
        <w:ind w:left="567" w:right="333"/>
        <w:jc w:val="both"/>
        <w:rPr>
          <w:rFonts w:ascii="Arial" w:eastAsia="Calibri" w:hAnsi="Arial" w:cs="Arial"/>
          <w:i/>
          <w:color w:val="000000"/>
          <w:sz w:val="22"/>
          <w:szCs w:val="22"/>
          <w:lang w:val="es-CR" w:eastAsia="es-CR"/>
        </w:rPr>
      </w:pPr>
      <w:r w:rsidRPr="008D5671">
        <w:rPr>
          <w:rFonts w:ascii="Arial" w:eastAsia="Calibri" w:hAnsi="Arial" w:cs="Arial"/>
          <w:i/>
          <w:color w:val="000000"/>
          <w:sz w:val="22"/>
          <w:szCs w:val="22"/>
          <w:lang w:val="es-CR" w:eastAsia="es-CR"/>
        </w:rPr>
        <w:t>La información pertinente para realizar el estudio de evaluación y categorización de la unidad será suministrada por ésta en el formato establecido por la Oficina de Planificación Institucional para tal efecto.</w:t>
      </w:r>
    </w:p>
    <w:p w:rsidR="008D5671" w:rsidRPr="008D5671" w:rsidRDefault="008D5671" w:rsidP="008D5671">
      <w:pPr>
        <w:ind w:left="567" w:right="333"/>
        <w:jc w:val="both"/>
        <w:rPr>
          <w:rFonts w:ascii="Arial" w:eastAsia="Calibri" w:hAnsi="Arial" w:cs="Arial"/>
          <w:b/>
          <w:bCs/>
          <w:i/>
          <w:color w:val="000000"/>
          <w:sz w:val="22"/>
          <w:szCs w:val="22"/>
          <w:lang w:val="es-CR" w:eastAsia="es-CR"/>
        </w:rPr>
      </w:pPr>
      <w:r w:rsidRPr="008D5671">
        <w:rPr>
          <w:rFonts w:ascii="Arial" w:eastAsia="Calibri" w:hAnsi="Arial" w:cs="Arial"/>
          <w:b/>
          <w:bCs/>
          <w:i/>
          <w:color w:val="000000"/>
          <w:sz w:val="22"/>
          <w:szCs w:val="22"/>
          <w:lang w:val="es-CR" w:eastAsia="es-CR"/>
        </w:rPr>
        <w:t>Artículo 13</w:t>
      </w:r>
    </w:p>
    <w:p w:rsidR="008D5671" w:rsidRPr="008D5671" w:rsidRDefault="008D5671" w:rsidP="008D5671">
      <w:pPr>
        <w:ind w:left="567" w:right="333"/>
        <w:jc w:val="both"/>
        <w:rPr>
          <w:rFonts w:ascii="Arial" w:eastAsia="Calibri" w:hAnsi="Arial" w:cs="Arial"/>
          <w:i/>
          <w:color w:val="000000"/>
          <w:sz w:val="22"/>
          <w:szCs w:val="22"/>
          <w:lang w:val="es-CR" w:eastAsia="es-CR"/>
        </w:rPr>
      </w:pPr>
      <w:r w:rsidRPr="008D5671">
        <w:rPr>
          <w:rFonts w:ascii="Arial" w:eastAsia="Calibri" w:hAnsi="Arial" w:cs="Arial"/>
          <w:i/>
          <w:color w:val="000000"/>
          <w:sz w:val="22"/>
          <w:szCs w:val="22"/>
          <w:lang w:val="es-CR" w:eastAsia="es-CR"/>
        </w:rPr>
        <w:lastRenderedPageBreak/>
        <w:t>La aplicación de estas normas en cuanto a la creación, modificación o eliminación de unidades en Órganos, Oficinas, Direcciones, Departamentos o Escuelas corresponderá al Consejo Institucional, el cual procederá conforme a una propuesta de parte del Rector o Rectora. Dicha propuesta contendrá el estudio y dictamen elaborado por la Oficina de Planificación Institucional y será revisada por una comisión del Consejo Institucional.</w:t>
      </w:r>
    </w:p>
    <w:p w:rsidR="008D5671" w:rsidRPr="008D5671" w:rsidRDefault="008D5671" w:rsidP="008D5671">
      <w:pPr>
        <w:ind w:left="567" w:right="333"/>
        <w:jc w:val="both"/>
        <w:rPr>
          <w:rFonts w:ascii="Arial" w:eastAsia="Calibri" w:hAnsi="Arial" w:cs="Arial"/>
          <w:i/>
          <w:color w:val="000000"/>
          <w:sz w:val="22"/>
          <w:szCs w:val="22"/>
          <w:lang w:val="es-CR" w:eastAsia="es-CR"/>
        </w:rPr>
      </w:pPr>
      <w:r w:rsidRPr="008D5671">
        <w:rPr>
          <w:rFonts w:ascii="Arial" w:eastAsia="Calibri" w:hAnsi="Arial" w:cs="Arial"/>
          <w:i/>
          <w:color w:val="000000"/>
          <w:sz w:val="22"/>
          <w:szCs w:val="22"/>
          <w:lang w:val="es-CR" w:eastAsia="es-CR"/>
        </w:rPr>
        <w:t>Cuando las unidades a crear, modificar o eliminar, se haga conforme a los Reglamentos citados en los incisos g y h del Artículo 11 de este Reglamento, el procedimiento de aprobación se hará conforme a lo estipulado en los Reglamentos correspondientes.</w:t>
      </w:r>
    </w:p>
    <w:p w:rsidR="008D5671" w:rsidRPr="008D5671" w:rsidRDefault="008D5671" w:rsidP="008D5671">
      <w:pPr>
        <w:ind w:left="567" w:right="333"/>
        <w:jc w:val="both"/>
        <w:rPr>
          <w:rFonts w:ascii="Arial" w:eastAsia="Calibri" w:hAnsi="Arial" w:cs="Arial"/>
          <w:b/>
          <w:bCs/>
          <w:i/>
          <w:color w:val="000000"/>
          <w:sz w:val="22"/>
          <w:szCs w:val="22"/>
          <w:lang w:val="es-CR" w:eastAsia="es-CR"/>
        </w:rPr>
      </w:pPr>
      <w:r w:rsidRPr="008D5671">
        <w:rPr>
          <w:rFonts w:ascii="Arial" w:eastAsia="Calibri" w:hAnsi="Arial" w:cs="Arial"/>
          <w:b/>
          <w:bCs/>
          <w:i/>
          <w:color w:val="000000"/>
          <w:sz w:val="22"/>
          <w:szCs w:val="22"/>
          <w:lang w:val="es-CR" w:eastAsia="es-CR"/>
        </w:rPr>
        <w:t>Transitorio 4</w:t>
      </w:r>
    </w:p>
    <w:p w:rsidR="008D5671" w:rsidRPr="008D5671" w:rsidRDefault="008D5671" w:rsidP="008D5671">
      <w:pPr>
        <w:ind w:left="567" w:right="333"/>
        <w:jc w:val="both"/>
        <w:rPr>
          <w:rFonts w:ascii="Arial" w:eastAsia="Calibri" w:hAnsi="Arial" w:cs="Arial"/>
          <w:i/>
          <w:color w:val="000000"/>
          <w:sz w:val="22"/>
          <w:szCs w:val="22"/>
          <w:lang w:val="es-CR" w:eastAsia="es-CR"/>
        </w:rPr>
      </w:pPr>
      <w:r w:rsidRPr="008D5671">
        <w:rPr>
          <w:rFonts w:ascii="Arial" w:eastAsia="Calibri" w:hAnsi="Arial" w:cs="Arial"/>
          <w:i/>
          <w:color w:val="000000"/>
          <w:sz w:val="22"/>
          <w:szCs w:val="22"/>
          <w:lang w:val="es-CR" w:eastAsia="es-CR"/>
        </w:rPr>
        <w:t>A aquellos /as funcionarios/as que ocupen puestos que tengan una valoración salarial superior a la que corresponda, según el instrumento de clasificación y valoración de las coordinaciones de unidad, mantendrán dicho porcentaje hasta la finalización de su período, situación que se corregirá inmediatamente después de la conclusión de dicho período.</w:t>
      </w:r>
    </w:p>
    <w:p w:rsidR="008D5671" w:rsidRPr="008D5671" w:rsidRDefault="008D5671" w:rsidP="008D5671">
      <w:pPr>
        <w:ind w:left="567" w:right="333"/>
        <w:jc w:val="both"/>
        <w:rPr>
          <w:rFonts w:ascii="Arial" w:eastAsia="Calibri" w:hAnsi="Arial" w:cs="Arial"/>
          <w:b/>
          <w:bCs/>
          <w:i/>
          <w:color w:val="000000"/>
          <w:sz w:val="22"/>
          <w:szCs w:val="22"/>
          <w:lang w:val="es-CR" w:eastAsia="es-CR"/>
        </w:rPr>
      </w:pPr>
      <w:r w:rsidRPr="008D5671">
        <w:rPr>
          <w:rFonts w:ascii="Arial" w:eastAsia="Calibri" w:hAnsi="Arial" w:cs="Arial"/>
          <w:b/>
          <w:bCs/>
          <w:i/>
          <w:color w:val="000000"/>
          <w:sz w:val="22"/>
          <w:szCs w:val="22"/>
          <w:lang w:val="es-CR" w:eastAsia="es-CR"/>
        </w:rPr>
        <w:t>Transitorio 5</w:t>
      </w:r>
    </w:p>
    <w:p w:rsidR="008D5671" w:rsidRPr="008D5671" w:rsidRDefault="008D5671" w:rsidP="008D5671">
      <w:pPr>
        <w:ind w:left="567" w:right="333"/>
        <w:jc w:val="both"/>
        <w:rPr>
          <w:rFonts w:ascii="Arial" w:eastAsia="Calibri" w:hAnsi="Arial" w:cs="Arial"/>
          <w:color w:val="000000"/>
          <w:sz w:val="22"/>
          <w:szCs w:val="22"/>
          <w:lang w:val="es-CR" w:eastAsia="es-CR"/>
        </w:rPr>
      </w:pPr>
      <w:r w:rsidRPr="008D5671">
        <w:rPr>
          <w:rFonts w:ascii="Arial" w:eastAsia="Calibri" w:hAnsi="Arial" w:cs="Arial"/>
          <w:i/>
          <w:color w:val="000000"/>
          <w:sz w:val="22"/>
          <w:szCs w:val="22"/>
          <w:lang w:val="es-CR" w:eastAsia="es-CR"/>
        </w:rPr>
        <w:t>A aquellos/as funcionarios/as que ocupen puestos que tengan una valoración salarial inferior a la que corresponda, según el instrumento de clasificación y valoración de las coordinaciones de unidad, se corregirá inmediatamente de acuerdo con los procedimientos establecidos en este Reglamento a partir de la fecha de vigencia.</w:t>
      </w:r>
    </w:p>
    <w:p w:rsidR="008D5671" w:rsidRPr="008D5671" w:rsidRDefault="008D5671" w:rsidP="008D5671">
      <w:pPr>
        <w:numPr>
          <w:ilvl w:val="0"/>
          <w:numId w:val="27"/>
        </w:numPr>
        <w:jc w:val="both"/>
        <w:rPr>
          <w:rFonts w:ascii="Arial" w:hAnsi="Arial" w:cs="Arial"/>
          <w:bCs/>
          <w:color w:val="000000"/>
          <w:lang w:val="es-CR"/>
        </w:rPr>
      </w:pPr>
      <w:r w:rsidRPr="008D5671">
        <w:rPr>
          <w:rFonts w:ascii="Arial" w:hAnsi="Arial" w:cs="Arial"/>
          <w:bCs/>
          <w:color w:val="000000"/>
          <w:lang w:val="es-CR"/>
        </w:rPr>
        <w:t>En la Gaceta Institucional N. 47, se publica el acuerdo del Consejo Institucional, Sesión N. 1537, artículo 11 del 23 de noviembre de 1989, en donde se ratifica la creación de las siguientes Unidades: (ver anexo 1)</w:t>
      </w:r>
    </w:p>
    <w:p w:rsidR="008D5671" w:rsidRPr="008D5671" w:rsidRDefault="008D5671" w:rsidP="008D5671">
      <w:pPr>
        <w:ind w:left="284"/>
        <w:jc w:val="both"/>
        <w:rPr>
          <w:rFonts w:ascii="Arial" w:hAnsi="Arial" w:cs="Arial"/>
          <w:bCs/>
          <w:color w:val="000000"/>
          <w:lang w:val="es-CR"/>
        </w:rPr>
      </w:pPr>
    </w:p>
    <w:p w:rsidR="008D5671" w:rsidRPr="008D5671" w:rsidRDefault="008D5671" w:rsidP="008D5671">
      <w:pPr>
        <w:numPr>
          <w:ilvl w:val="1"/>
          <w:numId w:val="27"/>
        </w:numPr>
        <w:jc w:val="both"/>
        <w:rPr>
          <w:rFonts w:ascii="Arial" w:hAnsi="Arial" w:cs="Arial"/>
          <w:bCs/>
          <w:color w:val="000000"/>
          <w:lang w:val="es-CR"/>
        </w:rPr>
      </w:pPr>
      <w:r w:rsidRPr="008D5671">
        <w:rPr>
          <w:rFonts w:ascii="Arial" w:hAnsi="Arial" w:cs="Arial"/>
          <w:bCs/>
          <w:color w:val="000000"/>
          <w:lang w:val="es-CR"/>
        </w:rPr>
        <w:t>Unidad de Electromecánica</w:t>
      </w:r>
    </w:p>
    <w:p w:rsidR="008D5671" w:rsidRPr="008D5671" w:rsidRDefault="008D5671" w:rsidP="008D5671">
      <w:pPr>
        <w:numPr>
          <w:ilvl w:val="1"/>
          <w:numId w:val="27"/>
        </w:numPr>
        <w:jc w:val="both"/>
        <w:rPr>
          <w:rFonts w:ascii="Arial" w:hAnsi="Arial" w:cs="Arial"/>
          <w:bCs/>
          <w:color w:val="000000"/>
          <w:lang w:val="es-CR"/>
        </w:rPr>
      </w:pPr>
      <w:r w:rsidRPr="008D5671">
        <w:rPr>
          <w:rFonts w:ascii="Arial" w:hAnsi="Arial" w:cs="Arial"/>
          <w:bCs/>
          <w:color w:val="000000"/>
          <w:lang w:val="es-CR"/>
        </w:rPr>
        <w:t>Unidad de Obras Civiles</w:t>
      </w:r>
    </w:p>
    <w:p w:rsidR="008D5671" w:rsidRPr="008D5671" w:rsidRDefault="008D5671" w:rsidP="008D5671">
      <w:pPr>
        <w:numPr>
          <w:ilvl w:val="1"/>
          <w:numId w:val="27"/>
        </w:numPr>
        <w:jc w:val="both"/>
        <w:rPr>
          <w:rFonts w:ascii="Arial" w:hAnsi="Arial" w:cs="Arial"/>
          <w:bCs/>
          <w:color w:val="000000"/>
          <w:lang w:val="es-CR"/>
        </w:rPr>
      </w:pPr>
      <w:r w:rsidRPr="008D5671">
        <w:rPr>
          <w:rFonts w:ascii="Arial" w:hAnsi="Arial" w:cs="Arial"/>
          <w:bCs/>
          <w:color w:val="000000"/>
          <w:lang w:val="es-CR"/>
        </w:rPr>
        <w:t>Unidad de Contabilidad General</w:t>
      </w:r>
    </w:p>
    <w:p w:rsidR="008D5671" w:rsidRPr="008D5671" w:rsidRDefault="008D5671" w:rsidP="008D5671">
      <w:pPr>
        <w:numPr>
          <w:ilvl w:val="1"/>
          <w:numId w:val="27"/>
        </w:numPr>
        <w:jc w:val="both"/>
        <w:rPr>
          <w:rFonts w:ascii="Arial" w:hAnsi="Arial" w:cs="Arial"/>
          <w:bCs/>
          <w:color w:val="000000"/>
          <w:lang w:val="es-CR"/>
        </w:rPr>
      </w:pPr>
      <w:r w:rsidRPr="008D5671">
        <w:rPr>
          <w:rFonts w:ascii="Arial" w:hAnsi="Arial" w:cs="Arial"/>
          <w:bCs/>
          <w:color w:val="000000"/>
          <w:lang w:val="es-CR"/>
        </w:rPr>
        <w:t>Unidad de Desarrollo de Personal</w:t>
      </w:r>
    </w:p>
    <w:p w:rsidR="008D5671" w:rsidRPr="008D5671" w:rsidRDefault="008D5671" w:rsidP="008D5671">
      <w:pPr>
        <w:numPr>
          <w:ilvl w:val="1"/>
          <w:numId w:val="27"/>
        </w:numPr>
        <w:jc w:val="both"/>
        <w:rPr>
          <w:rFonts w:ascii="Arial" w:hAnsi="Arial" w:cs="Arial"/>
          <w:bCs/>
          <w:color w:val="000000"/>
          <w:lang w:val="es-CR"/>
        </w:rPr>
      </w:pPr>
      <w:r w:rsidRPr="008D5671">
        <w:rPr>
          <w:rFonts w:ascii="Arial" w:hAnsi="Arial" w:cs="Arial"/>
          <w:bCs/>
          <w:color w:val="000000"/>
          <w:lang w:val="es-CR"/>
        </w:rPr>
        <w:t>Unidad de Estudios y Remuneraciones.</w:t>
      </w:r>
    </w:p>
    <w:p w:rsidR="008D5671" w:rsidRPr="008D5671" w:rsidRDefault="008D5671" w:rsidP="008D5671">
      <w:pPr>
        <w:jc w:val="both"/>
        <w:rPr>
          <w:rFonts w:ascii="Arial" w:eastAsia="Calibri" w:hAnsi="Arial" w:cs="Arial"/>
          <w:b/>
          <w:color w:val="000000"/>
          <w:lang w:val="es-CR" w:eastAsia="en-US"/>
        </w:rPr>
      </w:pPr>
    </w:p>
    <w:p w:rsidR="008D5671" w:rsidRPr="008D5671" w:rsidRDefault="008D5671" w:rsidP="008D5671">
      <w:pPr>
        <w:numPr>
          <w:ilvl w:val="0"/>
          <w:numId w:val="27"/>
        </w:numPr>
        <w:jc w:val="both"/>
        <w:rPr>
          <w:rFonts w:ascii="Arial" w:hAnsi="Arial" w:cs="Arial"/>
          <w:bCs/>
          <w:color w:val="000000"/>
          <w:lang w:val="es-CR"/>
        </w:rPr>
      </w:pPr>
      <w:r w:rsidRPr="008D5671">
        <w:rPr>
          <w:rFonts w:ascii="Arial" w:hAnsi="Arial" w:cs="Arial"/>
          <w:bCs/>
          <w:color w:val="000000"/>
          <w:lang w:val="es-CR"/>
        </w:rPr>
        <w:t xml:space="preserve">El Consejo Institucional en Sesión No. 1594, Artículo 5, del 27 de junio de 1991, acuerda crear de la Unidad de Tesorería en el Departamento Financiero Contable y la Unidad de Servicios Generales en el Departamento Administrativo de la Sede San Carlos. </w:t>
      </w:r>
    </w:p>
    <w:p w:rsidR="008D5671" w:rsidRPr="008D5671" w:rsidRDefault="008D5671" w:rsidP="008D5671">
      <w:pPr>
        <w:ind w:left="284"/>
        <w:jc w:val="both"/>
        <w:rPr>
          <w:rFonts w:ascii="Arial" w:hAnsi="Arial" w:cs="Arial"/>
          <w:bCs/>
          <w:color w:val="000000"/>
          <w:lang w:val="es-CR"/>
        </w:rPr>
      </w:pPr>
    </w:p>
    <w:p w:rsidR="008D5671" w:rsidRPr="008D5671" w:rsidRDefault="008D5671" w:rsidP="008D5671">
      <w:pPr>
        <w:numPr>
          <w:ilvl w:val="0"/>
          <w:numId w:val="27"/>
        </w:numPr>
        <w:jc w:val="both"/>
        <w:rPr>
          <w:rFonts w:ascii="Arial" w:hAnsi="Arial" w:cs="Arial"/>
          <w:bCs/>
          <w:color w:val="000000"/>
          <w:lang w:val="es-CR"/>
        </w:rPr>
      </w:pPr>
      <w:r w:rsidRPr="008D5671">
        <w:rPr>
          <w:rFonts w:ascii="Arial" w:hAnsi="Arial" w:cs="Arial"/>
          <w:bCs/>
          <w:color w:val="000000"/>
          <w:lang w:val="es-CR"/>
        </w:rPr>
        <w:t>La Secretaría del Consejo Institucional recibe oficio R-1480-2017, con fecha de recibido 06 de diciembre de 2017, suscrito por el Dr. Julio Calvo, Rector, dirigido a la Ing. María Estrada Sánchez, Coordinadora Comisión de Asuntos Académicos y Estudiantiles, mediante el cual, en atención al oficio SCI-781-2017, propone homologar las unidades administrativas creadas por el Consejo Institucional que no cuentan con una categorización, según el siguiente detalle: (ver anexo 2)</w:t>
      </w:r>
    </w:p>
    <w:p w:rsidR="008D5671" w:rsidRPr="008D5671" w:rsidRDefault="008D5671" w:rsidP="008D5671">
      <w:pPr>
        <w:ind w:right="-91"/>
        <w:jc w:val="both"/>
        <w:rPr>
          <w:rFonts w:ascii="Arial" w:eastAsia="Calibri" w:hAnsi="Arial" w:cs="Arial"/>
          <w:color w:val="000000"/>
          <w:lang w:val="es-CR" w:eastAsia="en-US"/>
        </w:rPr>
      </w:pPr>
    </w:p>
    <w:tbl>
      <w:tblPr>
        <w:tblW w:w="9260" w:type="dxa"/>
        <w:jc w:val="center"/>
        <w:tblBorders>
          <w:top w:val="single" w:sz="4" w:space="0" w:color="auto"/>
          <w:bottom w:val="single" w:sz="4" w:space="0" w:color="auto"/>
          <w:insideV w:val="single" w:sz="4" w:space="0" w:color="auto"/>
        </w:tblBorders>
        <w:tblLayout w:type="fixed"/>
        <w:tblLook w:val="04A0" w:firstRow="1" w:lastRow="0" w:firstColumn="1" w:lastColumn="0" w:noHBand="0" w:noVBand="1"/>
      </w:tblPr>
      <w:tblGrid>
        <w:gridCol w:w="4962"/>
        <w:gridCol w:w="1979"/>
        <w:gridCol w:w="2319"/>
      </w:tblGrid>
      <w:tr w:rsidR="008D5671" w:rsidRPr="008D5671" w:rsidTr="0074702D">
        <w:trPr>
          <w:tblHeader/>
          <w:jc w:val="center"/>
        </w:trPr>
        <w:tc>
          <w:tcPr>
            <w:tcW w:w="4962" w:type="dxa"/>
            <w:tcBorders>
              <w:top w:val="single" w:sz="4" w:space="0" w:color="auto"/>
              <w:bottom w:val="single" w:sz="4" w:space="0" w:color="auto"/>
            </w:tcBorders>
            <w:shd w:val="clear" w:color="auto" w:fill="DEEAF6"/>
            <w:vAlign w:val="center"/>
          </w:tcPr>
          <w:p w:rsidR="008D5671" w:rsidRPr="008D5671" w:rsidRDefault="008D5671" w:rsidP="008D5671">
            <w:pPr>
              <w:autoSpaceDE w:val="0"/>
              <w:autoSpaceDN w:val="0"/>
              <w:adjustRightInd w:val="0"/>
              <w:ind w:left="34"/>
              <w:jc w:val="center"/>
              <w:rPr>
                <w:rFonts w:ascii="Arial" w:hAnsi="Arial" w:cs="Arial"/>
                <w:b/>
                <w:sz w:val="22"/>
              </w:rPr>
            </w:pPr>
            <w:r w:rsidRPr="008D5671">
              <w:rPr>
                <w:rFonts w:ascii="Arial" w:hAnsi="Arial" w:cs="Arial"/>
                <w:b/>
                <w:sz w:val="22"/>
              </w:rPr>
              <w:t>Unidad</w:t>
            </w:r>
          </w:p>
        </w:tc>
        <w:tc>
          <w:tcPr>
            <w:tcW w:w="1979" w:type="dxa"/>
            <w:tcBorders>
              <w:top w:val="single" w:sz="4" w:space="0" w:color="auto"/>
              <w:bottom w:val="single" w:sz="4" w:space="0" w:color="auto"/>
            </w:tcBorders>
            <w:shd w:val="clear" w:color="auto" w:fill="DEEAF6"/>
            <w:vAlign w:val="center"/>
          </w:tcPr>
          <w:p w:rsidR="008D5671" w:rsidRPr="008D5671" w:rsidRDefault="008D5671" w:rsidP="008D5671">
            <w:pPr>
              <w:autoSpaceDE w:val="0"/>
              <w:autoSpaceDN w:val="0"/>
              <w:adjustRightInd w:val="0"/>
              <w:jc w:val="center"/>
              <w:rPr>
                <w:rFonts w:ascii="Arial" w:hAnsi="Arial" w:cs="Arial"/>
                <w:b/>
                <w:sz w:val="22"/>
              </w:rPr>
            </w:pPr>
            <w:r w:rsidRPr="008D5671">
              <w:rPr>
                <w:rFonts w:ascii="Arial" w:hAnsi="Arial" w:cs="Arial"/>
                <w:b/>
                <w:sz w:val="22"/>
              </w:rPr>
              <w:t>Categoría según Reglamento</w:t>
            </w:r>
          </w:p>
        </w:tc>
        <w:tc>
          <w:tcPr>
            <w:tcW w:w="2319" w:type="dxa"/>
            <w:tcBorders>
              <w:top w:val="single" w:sz="4" w:space="0" w:color="auto"/>
              <w:bottom w:val="single" w:sz="4" w:space="0" w:color="auto"/>
            </w:tcBorders>
            <w:shd w:val="clear" w:color="auto" w:fill="DEEAF6"/>
            <w:vAlign w:val="center"/>
          </w:tcPr>
          <w:p w:rsidR="008D5671" w:rsidRPr="008D5671" w:rsidRDefault="008D5671" w:rsidP="008D5671">
            <w:pPr>
              <w:autoSpaceDE w:val="0"/>
              <w:autoSpaceDN w:val="0"/>
              <w:adjustRightInd w:val="0"/>
              <w:ind w:left="34"/>
              <w:jc w:val="center"/>
              <w:rPr>
                <w:rFonts w:ascii="Arial" w:hAnsi="Arial" w:cs="Arial"/>
                <w:b/>
                <w:sz w:val="22"/>
              </w:rPr>
            </w:pPr>
            <w:r w:rsidRPr="008D5671">
              <w:rPr>
                <w:rFonts w:ascii="Arial" w:hAnsi="Arial" w:cs="Arial"/>
                <w:b/>
                <w:sz w:val="22"/>
              </w:rPr>
              <w:t>Porcentaje por coordinación</w:t>
            </w:r>
          </w:p>
        </w:tc>
      </w:tr>
      <w:tr w:rsidR="008D5671" w:rsidRPr="008D5671" w:rsidTr="0074702D">
        <w:trPr>
          <w:jc w:val="center"/>
        </w:trPr>
        <w:tc>
          <w:tcPr>
            <w:tcW w:w="4962" w:type="dxa"/>
            <w:shd w:val="clear" w:color="auto" w:fill="auto"/>
          </w:tcPr>
          <w:p w:rsidR="008D5671" w:rsidRPr="008D5671" w:rsidRDefault="008D5671" w:rsidP="008D5671">
            <w:pPr>
              <w:autoSpaceDE w:val="0"/>
              <w:autoSpaceDN w:val="0"/>
              <w:adjustRightInd w:val="0"/>
              <w:spacing w:before="120"/>
              <w:ind w:left="34"/>
              <w:jc w:val="both"/>
              <w:rPr>
                <w:rFonts w:ascii="Arial" w:hAnsi="Arial" w:cs="Arial"/>
                <w:sz w:val="22"/>
                <w:szCs w:val="22"/>
              </w:rPr>
            </w:pPr>
            <w:r w:rsidRPr="008D5671">
              <w:rPr>
                <w:rFonts w:ascii="Arial" w:hAnsi="Arial" w:cs="Arial"/>
                <w:sz w:val="22"/>
                <w:szCs w:val="22"/>
              </w:rPr>
              <w:t>Unidad de Electromecánica</w:t>
            </w:r>
          </w:p>
        </w:tc>
        <w:tc>
          <w:tcPr>
            <w:tcW w:w="1979" w:type="dxa"/>
            <w:shd w:val="clear" w:color="auto" w:fill="auto"/>
          </w:tcPr>
          <w:p w:rsidR="008D5671" w:rsidRPr="008D5671" w:rsidRDefault="008D5671" w:rsidP="008D5671">
            <w:pPr>
              <w:autoSpaceDE w:val="0"/>
              <w:autoSpaceDN w:val="0"/>
              <w:adjustRightInd w:val="0"/>
              <w:spacing w:before="120"/>
              <w:ind w:left="360"/>
              <w:jc w:val="center"/>
              <w:rPr>
                <w:rFonts w:ascii="Arial" w:hAnsi="Arial" w:cs="Arial"/>
                <w:sz w:val="22"/>
                <w:szCs w:val="22"/>
              </w:rPr>
            </w:pPr>
            <w:r w:rsidRPr="008D5671">
              <w:rPr>
                <w:rFonts w:ascii="Arial" w:hAnsi="Arial" w:cs="Arial"/>
                <w:sz w:val="22"/>
                <w:szCs w:val="22"/>
              </w:rPr>
              <w:t>2</w:t>
            </w:r>
          </w:p>
        </w:tc>
        <w:tc>
          <w:tcPr>
            <w:tcW w:w="2319" w:type="dxa"/>
            <w:shd w:val="clear" w:color="auto" w:fill="auto"/>
          </w:tcPr>
          <w:p w:rsidR="008D5671" w:rsidRPr="008D5671" w:rsidRDefault="008D5671" w:rsidP="008D5671">
            <w:pPr>
              <w:autoSpaceDE w:val="0"/>
              <w:autoSpaceDN w:val="0"/>
              <w:adjustRightInd w:val="0"/>
              <w:spacing w:before="120"/>
              <w:ind w:left="34" w:firstLine="34"/>
              <w:jc w:val="center"/>
              <w:rPr>
                <w:rFonts w:ascii="Arial" w:hAnsi="Arial" w:cs="Arial"/>
                <w:sz w:val="22"/>
                <w:szCs w:val="22"/>
              </w:rPr>
            </w:pPr>
            <w:r w:rsidRPr="008D5671">
              <w:rPr>
                <w:rFonts w:ascii="Arial" w:hAnsi="Arial" w:cs="Arial"/>
                <w:sz w:val="22"/>
                <w:szCs w:val="22"/>
              </w:rPr>
              <w:t>20%</w:t>
            </w:r>
          </w:p>
        </w:tc>
      </w:tr>
      <w:tr w:rsidR="008D5671" w:rsidRPr="008D5671" w:rsidTr="0074702D">
        <w:trPr>
          <w:jc w:val="center"/>
        </w:trPr>
        <w:tc>
          <w:tcPr>
            <w:tcW w:w="4962" w:type="dxa"/>
            <w:shd w:val="clear" w:color="auto" w:fill="auto"/>
          </w:tcPr>
          <w:p w:rsidR="008D5671" w:rsidRPr="008D5671" w:rsidRDefault="008D5671" w:rsidP="008D5671">
            <w:pPr>
              <w:autoSpaceDE w:val="0"/>
              <w:autoSpaceDN w:val="0"/>
              <w:adjustRightInd w:val="0"/>
              <w:spacing w:before="120"/>
              <w:ind w:left="34"/>
              <w:jc w:val="both"/>
              <w:rPr>
                <w:rFonts w:ascii="Arial" w:hAnsi="Arial" w:cs="Arial"/>
                <w:sz w:val="22"/>
                <w:szCs w:val="22"/>
              </w:rPr>
            </w:pPr>
            <w:r w:rsidRPr="008D5671">
              <w:rPr>
                <w:rFonts w:ascii="Arial" w:hAnsi="Arial" w:cs="Arial"/>
                <w:sz w:val="22"/>
                <w:szCs w:val="22"/>
              </w:rPr>
              <w:t>Unidad de Obras Civiles</w:t>
            </w:r>
          </w:p>
        </w:tc>
        <w:tc>
          <w:tcPr>
            <w:tcW w:w="1979" w:type="dxa"/>
            <w:shd w:val="clear" w:color="auto" w:fill="auto"/>
          </w:tcPr>
          <w:p w:rsidR="008D5671" w:rsidRPr="008D5671" w:rsidRDefault="008D5671" w:rsidP="008D5671">
            <w:pPr>
              <w:autoSpaceDE w:val="0"/>
              <w:autoSpaceDN w:val="0"/>
              <w:adjustRightInd w:val="0"/>
              <w:spacing w:before="120"/>
              <w:ind w:left="360"/>
              <w:jc w:val="center"/>
              <w:rPr>
                <w:rFonts w:ascii="Arial" w:hAnsi="Arial" w:cs="Arial"/>
                <w:sz w:val="22"/>
                <w:szCs w:val="22"/>
              </w:rPr>
            </w:pPr>
            <w:r w:rsidRPr="008D5671">
              <w:rPr>
                <w:rFonts w:ascii="Arial" w:hAnsi="Arial" w:cs="Arial"/>
                <w:sz w:val="22"/>
                <w:szCs w:val="22"/>
              </w:rPr>
              <w:t>1</w:t>
            </w:r>
          </w:p>
        </w:tc>
        <w:tc>
          <w:tcPr>
            <w:tcW w:w="2319" w:type="dxa"/>
            <w:shd w:val="clear" w:color="auto" w:fill="auto"/>
          </w:tcPr>
          <w:p w:rsidR="008D5671" w:rsidRPr="008D5671" w:rsidRDefault="008D5671" w:rsidP="008D5671">
            <w:pPr>
              <w:autoSpaceDE w:val="0"/>
              <w:autoSpaceDN w:val="0"/>
              <w:adjustRightInd w:val="0"/>
              <w:spacing w:before="120"/>
              <w:ind w:left="34" w:firstLine="34"/>
              <w:jc w:val="center"/>
              <w:rPr>
                <w:rFonts w:ascii="Arial" w:hAnsi="Arial" w:cs="Arial"/>
                <w:sz w:val="22"/>
                <w:szCs w:val="22"/>
              </w:rPr>
            </w:pPr>
            <w:r w:rsidRPr="008D5671">
              <w:rPr>
                <w:rFonts w:ascii="Arial" w:hAnsi="Arial" w:cs="Arial"/>
                <w:sz w:val="22"/>
                <w:szCs w:val="22"/>
              </w:rPr>
              <w:t>15%</w:t>
            </w:r>
          </w:p>
        </w:tc>
      </w:tr>
      <w:tr w:rsidR="008D5671" w:rsidRPr="008D5671" w:rsidTr="0074702D">
        <w:trPr>
          <w:jc w:val="center"/>
        </w:trPr>
        <w:tc>
          <w:tcPr>
            <w:tcW w:w="4962" w:type="dxa"/>
            <w:tcBorders>
              <w:bottom w:val="nil"/>
            </w:tcBorders>
            <w:shd w:val="clear" w:color="auto" w:fill="auto"/>
          </w:tcPr>
          <w:p w:rsidR="008D5671" w:rsidRPr="008D5671" w:rsidRDefault="008D5671" w:rsidP="008D5671">
            <w:pPr>
              <w:autoSpaceDE w:val="0"/>
              <w:autoSpaceDN w:val="0"/>
              <w:adjustRightInd w:val="0"/>
              <w:spacing w:before="120"/>
              <w:ind w:left="34"/>
              <w:jc w:val="both"/>
              <w:rPr>
                <w:rFonts w:ascii="Arial" w:hAnsi="Arial" w:cs="Arial"/>
                <w:sz w:val="22"/>
                <w:szCs w:val="22"/>
              </w:rPr>
            </w:pPr>
            <w:r w:rsidRPr="008D5671">
              <w:rPr>
                <w:rFonts w:ascii="Arial" w:hAnsi="Arial" w:cs="Arial"/>
                <w:sz w:val="22"/>
                <w:szCs w:val="22"/>
              </w:rPr>
              <w:t>Unidad de Contabilidad General</w:t>
            </w:r>
          </w:p>
        </w:tc>
        <w:tc>
          <w:tcPr>
            <w:tcW w:w="1979" w:type="dxa"/>
            <w:tcBorders>
              <w:bottom w:val="nil"/>
            </w:tcBorders>
            <w:shd w:val="clear" w:color="auto" w:fill="auto"/>
          </w:tcPr>
          <w:p w:rsidR="008D5671" w:rsidRPr="008D5671" w:rsidRDefault="008D5671" w:rsidP="008D5671">
            <w:pPr>
              <w:autoSpaceDE w:val="0"/>
              <w:autoSpaceDN w:val="0"/>
              <w:adjustRightInd w:val="0"/>
              <w:spacing w:before="120"/>
              <w:ind w:left="360"/>
              <w:jc w:val="center"/>
              <w:rPr>
                <w:rFonts w:ascii="Arial" w:hAnsi="Arial" w:cs="Arial"/>
                <w:sz w:val="22"/>
                <w:szCs w:val="22"/>
              </w:rPr>
            </w:pPr>
            <w:r w:rsidRPr="008D5671">
              <w:rPr>
                <w:rFonts w:ascii="Arial" w:hAnsi="Arial" w:cs="Arial"/>
                <w:sz w:val="22"/>
                <w:szCs w:val="22"/>
              </w:rPr>
              <w:t>2</w:t>
            </w:r>
          </w:p>
        </w:tc>
        <w:tc>
          <w:tcPr>
            <w:tcW w:w="2319" w:type="dxa"/>
            <w:tcBorders>
              <w:bottom w:val="nil"/>
            </w:tcBorders>
            <w:shd w:val="clear" w:color="auto" w:fill="auto"/>
          </w:tcPr>
          <w:p w:rsidR="008D5671" w:rsidRPr="008D5671" w:rsidRDefault="008D5671" w:rsidP="008D5671">
            <w:pPr>
              <w:autoSpaceDE w:val="0"/>
              <w:autoSpaceDN w:val="0"/>
              <w:adjustRightInd w:val="0"/>
              <w:spacing w:before="120"/>
              <w:ind w:left="34" w:firstLine="34"/>
              <w:jc w:val="center"/>
              <w:rPr>
                <w:rFonts w:ascii="Arial" w:hAnsi="Arial" w:cs="Arial"/>
                <w:sz w:val="22"/>
                <w:szCs w:val="22"/>
              </w:rPr>
            </w:pPr>
            <w:r w:rsidRPr="008D5671">
              <w:rPr>
                <w:rFonts w:ascii="Arial" w:hAnsi="Arial" w:cs="Arial"/>
                <w:sz w:val="22"/>
                <w:szCs w:val="22"/>
              </w:rPr>
              <w:t>20%</w:t>
            </w:r>
          </w:p>
        </w:tc>
      </w:tr>
      <w:tr w:rsidR="008D5671" w:rsidRPr="008D5671" w:rsidTr="0074702D">
        <w:trPr>
          <w:jc w:val="center"/>
        </w:trPr>
        <w:tc>
          <w:tcPr>
            <w:tcW w:w="4962" w:type="dxa"/>
            <w:tcBorders>
              <w:top w:val="nil"/>
              <w:bottom w:val="nil"/>
              <w:right w:val="single" w:sz="4" w:space="0" w:color="auto"/>
            </w:tcBorders>
            <w:shd w:val="clear" w:color="auto" w:fill="auto"/>
          </w:tcPr>
          <w:p w:rsidR="008D5671" w:rsidRPr="008D5671" w:rsidRDefault="008D5671" w:rsidP="008D5671">
            <w:pPr>
              <w:autoSpaceDE w:val="0"/>
              <w:autoSpaceDN w:val="0"/>
              <w:adjustRightInd w:val="0"/>
              <w:spacing w:before="120"/>
              <w:ind w:left="34"/>
              <w:jc w:val="both"/>
              <w:rPr>
                <w:rFonts w:ascii="Arial" w:hAnsi="Arial" w:cs="Arial"/>
                <w:sz w:val="22"/>
                <w:szCs w:val="22"/>
              </w:rPr>
            </w:pPr>
            <w:r w:rsidRPr="008D5671">
              <w:rPr>
                <w:rFonts w:ascii="Arial" w:hAnsi="Arial" w:cs="Arial"/>
                <w:sz w:val="22"/>
                <w:szCs w:val="22"/>
              </w:rPr>
              <w:t>Unidad de Tesorería</w:t>
            </w:r>
          </w:p>
        </w:tc>
        <w:tc>
          <w:tcPr>
            <w:tcW w:w="1979" w:type="dxa"/>
            <w:tcBorders>
              <w:top w:val="nil"/>
              <w:left w:val="single" w:sz="4" w:space="0" w:color="auto"/>
              <w:bottom w:val="nil"/>
              <w:right w:val="single" w:sz="4" w:space="0" w:color="auto"/>
            </w:tcBorders>
            <w:shd w:val="clear" w:color="auto" w:fill="auto"/>
          </w:tcPr>
          <w:p w:rsidR="008D5671" w:rsidRPr="008D5671" w:rsidRDefault="008D5671" w:rsidP="008D5671">
            <w:pPr>
              <w:autoSpaceDE w:val="0"/>
              <w:autoSpaceDN w:val="0"/>
              <w:adjustRightInd w:val="0"/>
              <w:spacing w:before="120"/>
              <w:ind w:left="360"/>
              <w:jc w:val="center"/>
              <w:rPr>
                <w:rFonts w:ascii="Arial" w:hAnsi="Arial" w:cs="Arial"/>
                <w:sz w:val="22"/>
                <w:szCs w:val="22"/>
              </w:rPr>
            </w:pPr>
            <w:r w:rsidRPr="008D5671">
              <w:rPr>
                <w:rFonts w:ascii="Arial" w:hAnsi="Arial" w:cs="Arial"/>
                <w:sz w:val="22"/>
                <w:szCs w:val="22"/>
              </w:rPr>
              <w:t>2</w:t>
            </w:r>
          </w:p>
        </w:tc>
        <w:tc>
          <w:tcPr>
            <w:tcW w:w="2319" w:type="dxa"/>
            <w:tcBorders>
              <w:top w:val="nil"/>
              <w:left w:val="single" w:sz="4" w:space="0" w:color="auto"/>
              <w:bottom w:val="nil"/>
            </w:tcBorders>
            <w:shd w:val="clear" w:color="auto" w:fill="auto"/>
          </w:tcPr>
          <w:p w:rsidR="008D5671" w:rsidRPr="008D5671" w:rsidRDefault="008D5671" w:rsidP="008D5671">
            <w:pPr>
              <w:autoSpaceDE w:val="0"/>
              <w:autoSpaceDN w:val="0"/>
              <w:adjustRightInd w:val="0"/>
              <w:spacing w:before="120"/>
              <w:ind w:left="34" w:firstLine="34"/>
              <w:jc w:val="center"/>
              <w:rPr>
                <w:rFonts w:ascii="Arial" w:hAnsi="Arial" w:cs="Arial"/>
                <w:sz w:val="22"/>
                <w:szCs w:val="22"/>
              </w:rPr>
            </w:pPr>
            <w:r w:rsidRPr="008D5671">
              <w:rPr>
                <w:rFonts w:ascii="Arial" w:hAnsi="Arial" w:cs="Arial"/>
                <w:sz w:val="22"/>
                <w:szCs w:val="22"/>
              </w:rPr>
              <w:t>20%</w:t>
            </w:r>
          </w:p>
        </w:tc>
      </w:tr>
      <w:tr w:rsidR="008D5671" w:rsidRPr="008D5671" w:rsidTr="0074702D">
        <w:trPr>
          <w:jc w:val="center"/>
        </w:trPr>
        <w:tc>
          <w:tcPr>
            <w:tcW w:w="4962" w:type="dxa"/>
            <w:tcBorders>
              <w:top w:val="nil"/>
              <w:bottom w:val="nil"/>
              <w:right w:val="single" w:sz="4" w:space="0" w:color="auto"/>
            </w:tcBorders>
            <w:shd w:val="clear" w:color="auto" w:fill="auto"/>
          </w:tcPr>
          <w:p w:rsidR="008D5671" w:rsidRPr="008D5671" w:rsidRDefault="008D5671" w:rsidP="008D5671">
            <w:pPr>
              <w:autoSpaceDE w:val="0"/>
              <w:autoSpaceDN w:val="0"/>
              <w:adjustRightInd w:val="0"/>
              <w:spacing w:before="120"/>
              <w:ind w:left="34"/>
              <w:jc w:val="both"/>
              <w:rPr>
                <w:rFonts w:ascii="Arial" w:hAnsi="Arial" w:cs="Arial"/>
                <w:sz w:val="22"/>
                <w:szCs w:val="22"/>
              </w:rPr>
            </w:pPr>
            <w:r w:rsidRPr="008D5671">
              <w:rPr>
                <w:rFonts w:ascii="Arial" w:hAnsi="Arial" w:cs="Arial"/>
                <w:sz w:val="22"/>
                <w:szCs w:val="22"/>
              </w:rPr>
              <w:t>Unidad de Desarrollo de Personal</w:t>
            </w:r>
          </w:p>
        </w:tc>
        <w:tc>
          <w:tcPr>
            <w:tcW w:w="1979" w:type="dxa"/>
            <w:tcBorders>
              <w:top w:val="nil"/>
              <w:left w:val="single" w:sz="4" w:space="0" w:color="auto"/>
              <w:bottom w:val="nil"/>
              <w:right w:val="single" w:sz="4" w:space="0" w:color="auto"/>
            </w:tcBorders>
            <w:shd w:val="clear" w:color="auto" w:fill="auto"/>
          </w:tcPr>
          <w:p w:rsidR="008D5671" w:rsidRPr="008D5671" w:rsidRDefault="008D5671" w:rsidP="008D5671">
            <w:pPr>
              <w:autoSpaceDE w:val="0"/>
              <w:autoSpaceDN w:val="0"/>
              <w:adjustRightInd w:val="0"/>
              <w:spacing w:before="120"/>
              <w:ind w:left="360"/>
              <w:jc w:val="center"/>
              <w:rPr>
                <w:rFonts w:ascii="Arial" w:hAnsi="Arial" w:cs="Arial"/>
                <w:sz w:val="22"/>
                <w:szCs w:val="22"/>
              </w:rPr>
            </w:pPr>
            <w:r w:rsidRPr="008D5671">
              <w:rPr>
                <w:rFonts w:ascii="Arial" w:hAnsi="Arial" w:cs="Arial"/>
                <w:sz w:val="22"/>
                <w:szCs w:val="22"/>
              </w:rPr>
              <w:t>3</w:t>
            </w:r>
          </w:p>
        </w:tc>
        <w:tc>
          <w:tcPr>
            <w:tcW w:w="2319" w:type="dxa"/>
            <w:tcBorders>
              <w:top w:val="nil"/>
              <w:left w:val="single" w:sz="4" w:space="0" w:color="auto"/>
              <w:bottom w:val="nil"/>
            </w:tcBorders>
            <w:shd w:val="clear" w:color="auto" w:fill="auto"/>
          </w:tcPr>
          <w:p w:rsidR="008D5671" w:rsidRPr="008D5671" w:rsidRDefault="008D5671" w:rsidP="008D5671">
            <w:pPr>
              <w:autoSpaceDE w:val="0"/>
              <w:autoSpaceDN w:val="0"/>
              <w:adjustRightInd w:val="0"/>
              <w:spacing w:before="120"/>
              <w:ind w:left="34" w:firstLine="34"/>
              <w:jc w:val="center"/>
              <w:rPr>
                <w:rFonts w:ascii="Arial" w:hAnsi="Arial" w:cs="Arial"/>
                <w:sz w:val="22"/>
                <w:szCs w:val="22"/>
              </w:rPr>
            </w:pPr>
            <w:r w:rsidRPr="008D5671">
              <w:rPr>
                <w:rFonts w:ascii="Arial" w:hAnsi="Arial" w:cs="Arial"/>
                <w:sz w:val="22"/>
                <w:szCs w:val="22"/>
              </w:rPr>
              <w:t>25%</w:t>
            </w:r>
          </w:p>
        </w:tc>
      </w:tr>
      <w:tr w:rsidR="008D5671" w:rsidRPr="008D5671" w:rsidTr="0074702D">
        <w:trPr>
          <w:jc w:val="center"/>
        </w:trPr>
        <w:tc>
          <w:tcPr>
            <w:tcW w:w="4962" w:type="dxa"/>
            <w:tcBorders>
              <w:top w:val="nil"/>
              <w:bottom w:val="nil"/>
              <w:right w:val="single" w:sz="4" w:space="0" w:color="auto"/>
            </w:tcBorders>
            <w:shd w:val="clear" w:color="auto" w:fill="auto"/>
          </w:tcPr>
          <w:p w:rsidR="008D5671" w:rsidRPr="008D5671" w:rsidRDefault="008D5671" w:rsidP="008D5671">
            <w:pPr>
              <w:autoSpaceDE w:val="0"/>
              <w:autoSpaceDN w:val="0"/>
              <w:adjustRightInd w:val="0"/>
              <w:spacing w:before="120"/>
              <w:ind w:left="34"/>
              <w:jc w:val="both"/>
              <w:rPr>
                <w:rFonts w:ascii="Arial" w:hAnsi="Arial" w:cs="Arial"/>
                <w:sz w:val="22"/>
                <w:szCs w:val="22"/>
              </w:rPr>
            </w:pPr>
            <w:r w:rsidRPr="008D5671">
              <w:rPr>
                <w:rFonts w:ascii="Arial" w:hAnsi="Arial" w:cs="Arial"/>
                <w:sz w:val="22"/>
                <w:szCs w:val="22"/>
              </w:rPr>
              <w:lastRenderedPageBreak/>
              <w:t>Unidad de Estudios y Remuneraciones</w:t>
            </w:r>
          </w:p>
        </w:tc>
        <w:tc>
          <w:tcPr>
            <w:tcW w:w="1979" w:type="dxa"/>
            <w:tcBorders>
              <w:top w:val="nil"/>
              <w:left w:val="single" w:sz="4" w:space="0" w:color="auto"/>
              <w:bottom w:val="nil"/>
              <w:right w:val="single" w:sz="4" w:space="0" w:color="auto"/>
            </w:tcBorders>
            <w:shd w:val="clear" w:color="auto" w:fill="auto"/>
          </w:tcPr>
          <w:p w:rsidR="008D5671" w:rsidRPr="008D5671" w:rsidRDefault="008D5671" w:rsidP="008D5671">
            <w:pPr>
              <w:autoSpaceDE w:val="0"/>
              <w:autoSpaceDN w:val="0"/>
              <w:adjustRightInd w:val="0"/>
              <w:spacing w:before="120"/>
              <w:ind w:left="360"/>
              <w:jc w:val="center"/>
              <w:rPr>
                <w:rFonts w:ascii="Arial" w:hAnsi="Arial" w:cs="Arial"/>
                <w:sz w:val="22"/>
                <w:szCs w:val="22"/>
              </w:rPr>
            </w:pPr>
            <w:r w:rsidRPr="008D5671">
              <w:rPr>
                <w:rFonts w:ascii="Arial" w:hAnsi="Arial" w:cs="Arial"/>
                <w:sz w:val="22"/>
                <w:szCs w:val="22"/>
              </w:rPr>
              <w:t>3</w:t>
            </w:r>
          </w:p>
        </w:tc>
        <w:tc>
          <w:tcPr>
            <w:tcW w:w="2319" w:type="dxa"/>
            <w:tcBorders>
              <w:top w:val="nil"/>
              <w:left w:val="single" w:sz="4" w:space="0" w:color="auto"/>
              <w:bottom w:val="nil"/>
            </w:tcBorders>
            <w:shd w:val="clear" w:color="auto" w:fill="auto"/>
          </w:tcPr>
          <w:p w:rsidR="008D5671" w:rsidRPr="008D5671" w:rsidRDefault="008D5671" w:rsidP="008D5671">
            <w:pPr>
              <w:autoSpaceDE w:val="0"/>
              <w:autoSpaceDN w:val="0"/>
              <w:adjustRightInd w:val="0"/>
              <w:spacing w:before="120"/>
              <w:ind w:left="34" w:firstLine="34"/>
              <w:jc w:val="center"/>
              <w:rPr>
                <w:rFonts w:ascii="Arial" w:hAnsi="Arial" w:cs="Arial"/>
                <w:sz w:val="22"/>
                <w:szCs w:val="22"/>
              </w:rPr>
            </w:pPr>
            <w:r w:rsidRPr="008D5671">
              <w:rPr>
                <w:rFonts w:ascii="Arial" w:hAnsi="Arial" w:cs="Arial"/>
                <w:sz w:val="22"/>
                <w:szCs w:val="22"/>
              </w:rPr>
              <w:t>25%</w:t>
            </w:r>
          </w:p>
        </w:tc>
      </w:tr>
      <w:tr w:rsidR="008D5671" w:rsidRPr="008D5671" w:rsidTr="0074702D">
        <w:trPr>
          <w:jc w:val="center"/>
        </w:trPr>
        <w:tc>
          <w:tcPr>
            <w:tcW w:w="4962" w:type="dxa"/>
            <w:shd w:val="clear" w:color="auto" w:fill="auto"/>
          </w:tcPr>
          <w:p w:rsidR="008D5671" w:rsidRPr="008D5671" w:rsidRDefault="008D5671" w:rsidP="008D5671">
            <w:pPr>
              <w:autoSpaceDE w:val="0"/>
              <w:autoSpaceDN w:val="0"/>
              <w:adjustRightInd w:val="0"/>
              <w:spacing w:before="120"/>
              <w:ind w:left="34"/>
              <w:jc w:val="both"/>
              <w:rPr>
                <w:rFonts w:ascii="Arial" w:hAnsi="Arial" w:cs="Arial"/>
                <w:sz w:val="22"/>
                <w:szCs w:val="22"/>
              </w:rPr>
            </w:pPr>
            <w:r w:rsidRPr="008D5671">
              <w:rPr>
                <w:rFonts w:ascii="Arial" w:hAnsi="Arial" w:cs="Arial"/>
                <w:sz w:val="22"/>
                <w:szCs w:val="22"/>
              </w:rPr>
              <w:t>Unidad de Servicios Generales San Carlos</w:t>
            </w:r>
          </w:p>
        </w:tc>
        <w:tc>
          <w:tcPr>
            <w:tcW w:w="1979" w:type="dxa"/>
            <w:shd w:val="clear" w:color="auto" w:fill="auto"/>
          </w:tcPr>
          <w:p w:rsidR="008D5671" w:rsidRPr="008D5671" w:rsidRDefault="008D5671" w:rsidP="008D5671">
            <w:pPr>
              <w:autoSpaceDE w:val="0"/>
              <w:autoSpaceDN w:val="0"/>
              <w:adjustRightInd w:val="0"/>
              <w:spacing w:before="120"/>
              <w:ind w:left="360"/>
              <w:jc w:val="center"/>
              <w:rPr>
                <w:rFonts w:ascii="Arial" w:hAnsi="Arial" w:cs="Arial"/>
                <w:sz w:val="22"/>
                <w:szCs w:val="22"/>
              </w:rPr>
            </w:pPr>
            <w:r w:rsidRPr="008D5671">
              <w:rPr>
                <w:rFonts w:ascii="Arial" w:hAnsi="Arial" w:cs="Arial"/>
                <w:sz w:val="22"/>
                <w:szCs w:val="22"/>
              </w:rPr>
              <w:t>1</w:t>
            </w:r>
          </w:p>
        </w:tc>
        <w:tc>
          <w:tcPr>
            <w:tcW w:w="2319" w:type="dxa"/>
            <w:shd w:val="clear" w:color="auto" w:fill="auto"/>
          </w:tcPr>
          <w:p w:rsidR="008D5671" w:rsidRPr="008D5671" w:rsidRDefault="008D5671" w:rsidP="008D5671">
            <w:pPr>
              <w:autoSpaceDE w:val="0"/>
              <w:autoSpaceDN w:val="0"/>
              <w:adjustRightInd w:val="0"/>
              <w:spacing w:before="120"/>
              <w:ind w:left="34" w:firstLine="34"/>
              <w:jc w:val="center"/>
              <w:rPr>
                <w:rFonts w:ascii="Arial" w:hAnsi="Arial" w:cs="Arial"/>
                <w:sz w:val="22"/>
                <w:szCs w:val="22"/>
              </w:rPr>
            </w:pPr>
            <w:r w:rsidRPr="008D5671">
              <w:rPr>
                <w:rFonts w:ascii="Arial" w:hAnsi="Arial" w:cs="Arial"/>
                <w:sz w:val="22"/>
                <w:szCs w:val="22"/>
              </w:rPr>
              <w:t>15%</w:t>
            </w:r>
          </w:p>
        </w:tc>
      </w:tr>
    </w:tbl>
    <w:p w:rsidR="008D5671" w:rsidRPr="008D5671" w:rsidRDefault="008D5671" w:rsidP="008D5671">
      <w:pPr>
        <w:jc w:val="both"/>
        <w:rPr>
          <w:rFonts w:ascii="Arial" w:eastAsia="Cambria" w:hAnsi="Arial" w:cs="Arial"/>
          <w:color w:val="000000"/>
          <w:lang w:val="es-CR" w:eastAsia="en-US"/>
        </w:rPr>
      </w:pPr>
    </w:p>
    <w:p w:rsidR="008D5671" w:rsidRPr="008D5671" w:rsidRDefault="008D5671" w:rsidP="008D5671">
      <w:pPr>
        <w:jc w:val="both"/>
        <w:outlineLvl w:val="0"/>
        <w:rPr>
          <w:rFonts w:ascii="Arial" w:eastAsia="Cambria" w:hAnsi="Arial" w:cs="Arial"/>
          <w:b/>
          <w:color w:val="000000"/>
          <w:lang w:val="es-CR" w:eastAsia="en-US"/>
        </w:rPr>
      </w:pPr>
      <w:r w:rsidRPr="008D5671">
        <w:rPr>
          <w:rFonts w:ascii="Arial" w:eastAsia="Cambria" w:hAnsi="Arial" w:cs="Arial"/>
          <w:b/>
          <w:color w:val="000000"/>
          <w:lang w:val="es-CR" w:eastAsia="en-US"/>
        </w:rPr>
        <w:t>CONSIDERANDO QUE:</w:t>
      </w:r>
    </w:p>
    <w:p w:rsidR="008D5671" w:rsidRPr="008D5671" w:rsidRDefault="008D5671" w:rsidP="008D5671">
      <w:pPr>
        <w:jc w:val="both"/>
        <w:rPr>
          <w:rFonts w:ascii="Arial" w:eastAsia="Calibri" w:hAnsi="Arial" w:cs="Arial"/>
          <w:color w:val="000000"/>
          <w:lang w:val="es-ES_tradnl" w:eastAsia="en-US"/>
        </w:rPr>
      </w:pPr>
    </w:p>
    <w:p w:rsidR="008D5671" w:rsidRPr="008D5671" w:rsidRDefault="008D5671" w:rsidP="008D5671">
      <w:pPr>
        <w:numPr>
          <w:ilvl w:val="0"/>
          <w:numId w:val="29"/>
        </w:numPr>
        <w:jc w:val="both"/>
        <w:rPr>
          <w:rFonts w:ascii="Arial" w:hAnsi="Arial" w:cs="Arial"/>
          <w:bCs/>
          <w:color w:val="000000"/>
          <w:lang w:val="es-CR"/>
        </w:rPr>
      </w:pPr>
      <w:r w:rsidRPr="008D5671">
        <w:rPr>
          <w:rFonts w:ascii="Arial" w:hAnsi="Arial" w:cs="Arial"/>
          <w:bCs/>
          <w:color w:val="000000"/>
          <w:lang w:val="es-CR"/>
        </w:rPr>
        <w:t xml:space="preserve">Las Unidades Administrativas que se propone homologar fueron creadas formalmente por el Consejo Institucional antes de la promulgación del Reglamento de Creación, Modificación y Eliminación de Unidades, mismo que establece el sistema de categorización de unidades utilizado actualmente. </w:t>
      </w:r>
    </w:p>
    <w:p w:rsidR="008D5671" w:rsidRPr="008D5671" w:rsidRDefault="008D5671" w:rsidP="008D5671">
      <w:pPr>
        <w:ind w:left="284"/>
        <w:jc w:val="both"/>
        <w:rPr>
          <w:rFonts w:ascii="Arial" w:hAnsi="Arial" w:cs="Arial"/>
          <w:bCs/>
          <w:color w:val="000000"/>
          <w:lang w:val="es-CR"/>
        </w:rPr>
      </w:pPr>
    </w:p>
    <w:p w:rsidR="008D5671" w:rsidRPr="008D5671" w:rsidRDefault="008D5671" w:rsidP="008D5671">
      <w:pPr>
        <w:numPr>
          <w:ilvl w:val="0"/>
          <w:numId w:val="29"/>
        </w:numPr>
        <w:jc w:val="both"/>
        <w:rPr>
          <w:rFonts w:ascii="Arial" w:hAnsi="Arial" w:cs="Arial"/>
          <w:bCs/>
          <w:color w:val="000000"/>
          <w:lang w:val="es-CR"/>
        </w:rPr>
      </w:pPr>
      <w:r w:rsidRPr="008D5671">
        <w:rPr>
          <w:rFonts w:ascii="Arial" w:hAnsi="Arial" w:cs="Arial"/>
          <w:bCs/>
          <w:color w:val="000000"/>
          <w:lang w:val="es-CR"/>
        </w:rPr>
        <w:t xml:space="preserve">El artículo 5 BIS vigente exige para la categorización de las unidades realizar un estudio por parte de la Oficina de Planificación Institucional, a excepción de las Unidades existentes en los Departamentos Académicos, por lo que no es viable realizar la categorización de las unidades administrativas por la vía de la homologación. </w:t>
      </w:r>
    </w:p>
    <w:p w:rsidR="008D5671" w:rsidRPr="008D5671" w:rsidRDefault="008D5671" w:rsidP="008D5671">
      <w:pPr>
        <w:ind w:left="708"/>
        <w:rPr>
          <w:rFonts w:ascii="Arial" w:hAnsi="Arial" w:cs="Arial"/>
          <w:bCs/>
          <w:color w:val="000000"/>
          <w:lang w:val="es-CR"/>
        </w:rPr>
      </w:pPr>
    </w:p>
    <w:p w:rsidR="008D5671" w:rsidRPr="008D5671" w:rsidRDefault="008D5671" w:rsidP="008D5671">
      <w:pPr>
        <w:numPr>
          <w:ilvl w:val="0"/>
          <w:numId w:val="29"/>
        </w:numPr>
        <w:jc w:val="both"/>
        <w:rPr>
          <w:rFonts w:ascii="Arial" w:hAnsi="Arial" w:cs="Arial"/>
          <w:bCs/>
          <w:color w:val="000000"/>
          <w:lang w:val="es-CR"/>
        </w:rPr>
      </w:pPr>
      <w:r w:rsidRPr="008D5671">
        <w:rPr>
          <w:rFonts w:ascii="Arial" w:hAnsi="Arial" w:cs="Arial"/>
          <w:bCs/>
          <w:color w:val="000000"/>
          <w:lang w:val="es-CR"/>
        </w:rPr>
        <w:t>En Sesión No. 2307, Artículo 14, del 28 de agosto del 2003, el Consejo Institucional se acordó: “Ratificar la creación de la Unidad de Electromecánica en el Departamento de Administración del Mantenimiento, categoría 2, con base en el análisis y puntaje que resultó del estudio: Estudios Previstos en el Reglamento de Creación, Modificación y Eliminación de Unidades en los Departamentos.”, por lo que no es necesario categorizar esta Unidad. (ver anexo 3)</w:t>
      </w:r>
    </w:p>
    <w:p w:rsidR="008D5671" w:rsidRPr="008D5671" w:rsidRDefault="008D5671" w:rsidP="008D5671">
      <w:pPr>
        <w:ind w:left="720"/>
        <w:jc w:val="both"/>
        <w:rPr>
          <w:rFonts w:ascii="Arial" w:eastAsia="Calibri" w:hAnsi="Arial" w:cs="Arial"/>
          <w:color w:val="000000"/>
          <w:lang w:val="es-CR" w:eastAsia="en-US"/>
        </w:rPr>
      </w:pPr>
    </w:p>
    <w:p w:rsidR="008D5671" w:rsidRPr="008D5671" w:rsidRDefault="008D5671" w:rsidP="008D5671">
      <w:pPr>
        <w:numPr>
          <w:ilvl w:val="0"/>
          <w:numId w:val="29"/>
        </w:numPr>
        <w:jc w:val="both"/>
        <w:rPr>
          <w:rFonts w:ascii="Arial" w:hAnsi="Arial" w:cs="Arial"/>
          <w:bCs/>
          <w:color w:val="000000"/>
          <w:lang w:val="es-CR"/>
        </w:rPr>
      </w:pPr>
      <w:r w:rsidRPr="008D5671">
        <w:rPr>
          <w:rFonts w:ascii="Arial" w:hAnsi="Arial" w:cs="Arial"/>
          <w:bCs/>
          <w:color w:val="000000"/>
          <w:lang w:val="es-CR"/>
        </w:rPr>
        <w:t xml:space="preserve">La Comisión de Asuntos Académicos y Estudiantiles, en la reunión No.592, celebrada el 15 de junio de 2018, da audiencia a la MAU. Tatiana Fernández y a la Licda. Jenny Zúñiga Valverde, en la cual se aclaran dudas sobre el tema. </w:t>
      </w:r>
    </w:p>
    <w:p w:rsidR="008D5671" w:rsidRPr="008D5671" w:rsidRDefault="008D5671" w:rsidP="008D5671">
      <w:pPr>
        <w:ind w:left="708"/>
        <w:rPr>
          <w:rFonts w:ascii="Arial" w:hAnsi="Arial" w:cs="Arial"/>
          <w:color w:val="000000"/>
          <w:lang w:val="es-ES_tradnl"/>
        </w:rPr>
      </w:pPr>
    </w:p>
    <w:p w:rsidR="008D5671" w:rsidRPr="008D5671" w:rsidRDefault="008D5671" w:rsidP="008D5671">
      <w:pPr>
        <w:numPr>
          <w:ilvl w:val="0"/>
          <w:numId w:val="29"/>
        </w:numPr>
        <w:jc w:val="both"/>
        <w:rPr>
          <w:rFonts w:ascii="Arial" w:hAnsi="Arial" w:cs="Arial"/>
          <w:bCs/>
          <w:color w:val="000000"/>
          <w:lang w:val="es-CR"/>
        </w:rPr>
      </w:pPr>
      <w:r w:rsidRPr="008D5671">
        <w:rPr>
          <w:rFonts w:ascii="Arial" w:hAnsi="Arial" w:cs="Arial"/>
          <w:bCs/>
          <w:color w:val="000000"/>
          <w:lang w:val="es-CR"/>
        </w:rPr>
        <w:t xml:space="preserve">La Comisión de Asuntos Académicos y Estudiantiles, en la reunión No.593-2018 celebrada el 22 de junio del 2018 analiza el tema y en la reunión No.594-2018 del 18 julio del 2018, revisa la propuesta y dispone elevarla al pleno. </w:t>
      </w:r>
    </w:p>
    <w:p w:rsidR="008D5671" w:rsidRPr="008D5671" w:rsidRDefault="008D5671" w:rsidP="008D5671">
      <w:pPr>
        <w:jc w:val="both"/>
        <w:rPr>
          <w:rFonts w:ascii="Arial" w:eastAsia="Calibri" w:hAnsi="Arial" w:cs="Arial"/>
          <w:color w:val="000000"/>
          <w:sz w:val="22"/>
          <w:szCs w:val="22"/>
          <w:lang w:val="es-ES_tradnl" w:eastAsia="en-US"/>
        </w:rPr>
      </w:pPr>
    </w:p>
    <w:p w:rsidR="008D5671" w:rsidRPr="008D5671" w:rsidRDefault="008D5671" w:rsidP="008D5671">
      <w:pPr>
        <w:jc w:val="both"/>
        <w:rPr>
          <w:rFonts w:ascii="Arial" w:eastAsia="Calibri" w:hAnsi="Arial" w:cs="Arial"/>
          <w:b/>
          <w:color w:val="000000"/>
          <w:lang w:val="es-CR" w:eastAsia="en-US"/>
        </w:rPr>
      </w:pPr>
      <w:r w:rsidRPr="008D5671">
        <w:rPr>
          <w:rFonts w:ascii="Arial" w:eastAsia="Calibri" w:hAnsi="Arial" w:cs="Arial"/>
          <w:b/>
          <w:color w:val="000000"/>
          <w:lang w:val="es-CR" w:eastAsia="en-US"/>
        </w:rPr>
        <w:t>SE</w:t>
      </w:r>
      <w:r>
        <w:rPr>
          <w:rFonts w:ascii="Arial" w:eastAsia="Calibri" w:hAnsi="Arial" w:cs="Arial"/>
          <w:b/>
          <w:color w:val="000000"/>
          <w:lang w:val="es-CR" w:eastAsia="en-US"/>
        </w:rPr>
        <w:t xml:space="preserve"> ACUERDA</w:t>
      </w:r>
      <w:r w:rsidRPr="008D5671">
        <w:rPr>
          <w:rFonts w:ascii="Arial" w:eastAsia="Calibri" w:hAnsi="Arial" w:cs="Arial"/>
          <w:b/>
          <w:color w:val="000000"/>
          <w:lang w:val="es-CR" w:eastAsia="en-US"/>
        </w:rPr>
        <w:t>:</w:t>
      </w:r>
    </w:p>
    <w:p w:rsidR="008D5671" w:rsidRPr="008D5671" w:rsidRDefault="008D5671" w:rsidP="008D5671">
      <w:pPr>
        <w:ind w:left="-284"/>
        <w:jc w:val="both"/>
        <w:rPr>
          <w:rFonts w:ascii="Arial" w:eastAsia="Calibri" w:hAnsi="Arial" w:cs="Arial"/>
          <w:b/>
          <w:color w:val="000000"/>
          <w:lang w:val="es-CR" w:eastAsia="en-US"/>
        </w:rPr>
      </w:pPr>
    </w:p>
    <w:p w:rsidR="008D5671" w:rsidRPr="008D5671" w:rsidRDefault="008D5671" w:rsidP="008D5671">
      <w:pPr>
        <w:numPr>
          <w:ilvl w:val="0"/>
          <w:numId w:val="28"/>
        </w:numPr>
        <w:jc w:val="both"/>
        <w:rPr>
          <w:rFonts w:ascii="Arial" w:hAnsi="Arial" w:cs="Arial"/>
          <w:b/>
          <w:color w:val="000000"/>
          <w:lang w:val="es-CR"/>
        </w:rPr>
      </w:pPr>
      <w:r w:rsidRPr="008D5671">
        <w:rPr>
          <w:rFonts w:ascii="Arial" w:hAnsi="Arial" w:cs="Arial"/>
          <w:color w:val="000000"/>
          <w:lang w:val="es-CR"/>
        </w:rPr>
        <w:t xml:space="preserve">Solicitar a la Oficina de Planificación el estudio requerido, conforme el Artículo 5 Bis </w:t>
      </w:r>
      <w:r w:rsidRPr="008D5671">
        <w:rPr>
          <w:rFonts w:ascii="Arial" w:hAnsi="Arial" w:cs="Arial"/>
          <w:bCs/>
          <w:color w:val="000000"/>
          <w:lang w:val="es-CR"/>
        </w:rPr>
        <w:t>del Reglamento de Creación, Modificación y Eliminación de Unidades en Departamentos del ITCR,</w:t>
      </w:r>
      <w:r w:rsidRPr="008D5671">
        <w:rPr>
          <w:rFonts w:ascii="Arial" w:hAnsi="Arial" w:cs="Arial"/>
          <w:color w:val="000000"/>
          <w:lang w:val="es-CR"/>
        </w:rPr>
        <w:t xml:space="preserve"> para proceder con la categorización de unidades administrativas creadas por el Consejo Institucional señaladas a continuación:</w:t>
      </w:r>
    </w:p>
    <w:p w:rsidR="008D5671" w:rsidRPr="008D5671" w:rsidRDefault="008D5671" w:rsidP="008D5671">
      <w:pPr>
        <w:ind w:left="436"/>
        <w:jc w:val="both"/>
        <w:rPr>
          <w:rFonts w:ascii="Arial" w:hAnsi="Arial" w:cs="Arial"/>
          <w:b/>
          <w:color w:val="000000"/>
          <w:lang w:val="es-CR"/>
        </w:rPr>
      </w:pPr>
    </w:p>
    <w:tbl>
      <w:tblPr>
        <w:tblW w:w="4962" w:type="dxa"/>
        <w:jc w:val="center"/>
        <w:tblBorders>
          <w:top w:val="single" w:sz="4" w:space="0" w:color="auto"/>
          <w:bottom w:val="single" w:sz="4" w:space="0" w:color="auto"/>
          <w:insideV w:val="single" w:sz="4" w:space="0" w:color="auto"/>
        </w:tblBorders>
        <w:tblLayout w:type="fixed"/>
        <w:tblLook w:val="04A0" w:firstRow="1" w:lastRow="0" w:firstColumn="1" w:lastColumn="0" w:noHBand="0" w:noVBand="1"/>
      </w:tblPr>
      <w:tblGrid>
        <w:gridCol w:w="4962"/>
      </w:tblGrid>
      <w:tr w:rsidR="008D5671" w:rsidRPr="008D5671" w:rsidTr="0074702D">
        <w:trPr>
          <w:tblHeader/>
          <w:jc w:val="center"/>
        </w:trPr>
        <w:tc>
          <w:tcPr>
            <w:tcW w:w="4962" w:type="dxa"/>
            <w:tcBorders>
              <w:top w:val="single" w:sz="4" w:space="0" w:color="auto"/>
              <w:bottom w:val="single" w:sz="4" w:space="0" w:color="auto"/>
            </w:tcBorders>
            <w:shd w:val="clear" w:color="auto" w:fill="DEEAF6"/>
            <w:vAlign w:val="center"/>
          </w:tcPr>
          <w:p w:rsidR="008D5671" w:rsidRPr="008D5671" w:rsidRDefault="008D5671" w:rsidP="008D5671">
            <w:pPr>
              <w:autoSpaceDE w:val="0"/>
              <w:autoSpaceDN w:val="0"/>
              <w:adjustRightInd w:val="0"/>
              <w:ind w:left="34"/>
              <w:jc w:val="center"/>
              <w:rPr>
                <w:rFonts w:ascii="Arial" w:hAnsi="Arial" w:cs="Arial"/>
                <w:b/>
                <w:sz w:val="22"/>
              </w:rPr>
            </w:pPr>
            <w:r w:rsidRPr="008D5671">
              <w:rPr>
                <w:rFonts w:ascii="Arial" w:hAnsi="Arial" w:cs="Arial"/>
                <w:b/>
                <w:sz w:val="22"/>
              </w:rPr>
              <w:t>Unidad</w:t>
            </w:r>
          </w:p>
        </w:tc>
      </w:tr>
      <w:tr w:rsidR="008D5671" w:rsidRPr="008D5671" w:rsidTr="0074702D">
        <w:trPr>
          <w:jc w:val="center"/>
        </w:trPr>
        <w:tc>
          <w:tcPr>
            <w:tcW w:w="4962" w:type="dxa"/>
            <w:tcBorders>
              <w:top w:val="single" w:sz="4" w:space="0" w:color="auto"/>
              <w:bottom w:val="nil"/>
              <w:right w:val="nil"/>
            </w:tcBorders>
            <w:shd w:val="clear" w:color="auto" w:fill="auto"/>
          </w:tcPr>
          <w:p w:rsidR="008D5671" w:rsidRPr="008D5671" w:rsidRDefault="008D5671" w:rsidP="008D5671">
            <w:pPr>
              <w:autoSpaceDE w:val="0"/>
              <w:autoSpaceDN w:val="0"/>
              <w:adjustRightInd w:val="0"/>
              <w:spacing w:before="120"/>
              <w:ind w:left="34"/>
              <w:jc w:val="both"/>
              <w:rPr>
                <w:rFonts w:ascii="Arial" w:hAnsi="Arial" w:cs="Arial"/>
                <w:sz w:val="22"/>
                <w:szCs w:val="22"/>
              </w:rPr>
            </w:pPr>
            <w:r w:rsidRPr="008D5671">
              <w:rPr>
                <w:rFonts w:ascii="Arial" w:hAnsi="Arial" w:cs="Arial"/>
                <w:sz w:val="22"/>
                <w:szCs w:val="22"/>
              </w:rPr>
              <w:t>Unidad de Obras Civiles</w:t>
            </w:r>
          </w:p>
        </w:tc>
      </w:tr>
      <w:tr w:rsidR="008D5671" w:rsidRPr="008D5671" w:rsidTr="0074702D">
        <w:trPr>
          <w:jc w:val="center"/>
        </w:trPr>
        <w:tc>
          <w:tcPr>
            <w:tcW w:w="4962" w:type="dxa"/>
            <w:tcBorders>
              <w:top w:val="nil"/>
              <w:bottom w:val="nil"/>
              <w:right w:val="nil"/>
            </w:tcBorders>
            <w:shd w:val="clear" w:color="auto" w:fill="auto"/>
          </w:tcPr>
          <w:p w:rsidR="008D5671" w:rsidRPr="008D5671" w:rsidRDefault="008D5671" w:rsidP="008D5671">
            <w:pPr>
              <w:autoSpaceDE w:val="0"/>
              <w:autoSpaceDN w:val="0"/>
              <w:adjustRightInd w:val="0"/>
              <w:spacing w:before="120"/>
              <w:ind w:left="34"/>
              <w:jc w:val="both"/>
              <w:rPr>
                <w:rFonts w:ascii="Arial" w:hAnsi="Arial" w:cs="Arial"/>
                <w:sz w:val="22"/>
                <w:szCs w:val="22"/>
              </w:rPr>
            </w:pPr>
            <w:r w:rsidRPr="008D5671">
              <w:rPr>
                <w:rFonts w:ascii="Arial" w:hAnsi="Arial" w:cs="Arial"/>
                <w:sz w:val="22"/>
                <w:szCs w:val="22"/>
              </w:rPr>
              <w:t>Unidad de Contabilidad General</w:t>
            </w:r>
          </w:p>
        </w:tc>
      </w:tr>
      <w:tr w:rsidR="008D5671" w:rsidRPr="008D5671" w:rsidTr="0074702D">
        <w:trPr>
          <w:jc w:val="center"/>
        </w:trPr>
        <w:tc>
          <w:tcPr>
            <w:tcW w:w="4962" w:type="dxa"/>
            <w:tcBorders>
              <w:top w:val="nil"/>
              <w:bottom w:val="nil"/>
              <w:right w:val="nil"/>
            </w:tcBorders>
            <w:shd w:val="clear" w:color="auto" w:fill="auto"/>
          </w:tcPr>
          <w:p w:rsidR="008D5671" w:rsidRPr="008D5671" w:rsidRDefault="008D5671" w:rsidP="008D5671">
            <w:pPr>
              <w:autoSpaceDE w:val="0"/>
              <w:autoSpaceDN w:val="0"/>
              <w:adjustRightInd w:val="0"/>
              <w:spacing w:before="120"/>
              <w:ind w:left="34"/>
              <w:jc w:val="both"/>
              <w:rPr>
                <w:rFonts w:ascii="Arial" w:hAnsi="Arial" w:cs="Arial"/>
                <w:sz w:val="22"/>
                <w:szCs w:val="22"/>
              </w:rPr>
            </w:pPr>
            <w:r w:rsidRPr="008D5671">
              <w:rPr>
                <w:rFonts w:ascii="Arial" w:hAnsi="Arial" w:cs="Arial"/>
                <w:sz w:val="22"/>
                <w:szCs w:val="22"/>
              </w:rPr>
              <w:t>Unidad de Tesorería</w:t>
            </w:r>
          </w:p>
        </w:tc>
      </w:tr>
      <w:tr w:rsidR="008D5671" w:rsidRPr="008D5671" w:rsidTr="0074702D">
        <w:trPr>
          <w:jc w:val="center"/>
        </w:trPr>
        <w:tc>
          <w:tcPr>
            <w:tcW w:w="4962" w:type="dxa"/>
            <w:tcBorders>
              <w:top w:val="nil"/>
              <w:bottom w:val="nil"/>
              <w:right w:val="nil"/>
            </w:tcBorders>
            <w:shd w:val="clear" w:color="auto" w:fill="auto"/>
          </w:tcPr>
          <w:p w:rsidR="008D5671" w:rsidRPr="008D5671" w:rsidRDefault="008D5671" w:rsidP="008D5671">
            <w:pPr>
              <w:autoSpaceDE w:val="0"/>
              <w:autoSpaceDN w:val="0"/>
              <w:adjustRightInd w:val="0"/>
              <w:spacing w:before="120"/>
              <w:ind w:left="34"/>
              <w:jc w:val="both"/>
              <w:rPr>
                <w:rFonts w:ascii="Arial" w:hAnsi="Arial" w:cs="Arial"/>
                <w:sz w:val="22"/>
                <w:szCs w:val="22"/>
              </w:rPr>
            </w:pPr>
            <w:r w:rsidRPr="008D5671">
              <w:rPr>
                <w:rFonts w:ascii="Arial" w:hAnsi="Arial" w:cs="Arial"/>
                <w:sz w:val="22"/>
                <w:szCs w:val="22"/>
              </w:rPr>
              <w:t>Unidad de Desarrollo de Personal</w:t>
            </w:r>
          </w:p>
        </w:tc>
      </w:tr>
      <w:tr w:rsidR="008D5671" w:rsidRPr="008D5671" w:rsidTr="0074702D">
        <w:trPr>
          <w:jc w:val="center"/>
        </w:trPr>
        <w:tc>
          <w:tcPr>
            <w:tcW w:w="4962" w:type="dxa"/>
            <w:tcBorders>
              <w:top w:val="nil"/>
              <w:bottom w:val="nil"/>
              <w:right w:val="nil"/>
            </w:tcBorders>
            <w:shd w:val="clear" w:color="auto" w:fill="auto"/>
          </w:tcPr>
          <w:p w:rsidR="008D5671" w:rsidRPr="008D5671" w:rsidRDefault="008D5671" w:rsidP="008D5671">
            <w:pPr>
              <w:autoSpaceDE w:val="0"/>
              <w:autoSpaceDN w:val="0"/>
              <w:adjustRightInd w:val="0"/>
              <w:spacing w:before="120"/>
              <w:ind w:left="34"/>
              <w:jc w:val="both"/>
              <w:rPr>
                <w:rFonts w:ascii="Arial" w:hAnsi="Arial" w:cs="Arial"/>
                <w:sz w:val="22"/>
                <w:szCs w:val="22"/>
              </w:rPr>
            </w:pPr>
            <w:r w:rsidRPr="008D5671">
              <w:rPr>
                <w:rFonts w:ascii="Arial" w:hAnsi="Arial" w:cs="Arial"/>
                <w:sz w:val="22"/>
                <w:szCs w:val="22"/>
              </w:rPr>
              <w:t>Unidad de Estudios y Remuneraciones</w:t>
            </w:r>
          </w:p>
        </w:tc>
      </w:tr>
      <w:tr w:rsidR="008D5671" w:rsidRPr="008D5671" w:rsidTr="0074702D">
        <w:trPr>
          <w:jc w:val="center"/>
        </w:trPr>
        <w:tc>
          <w:tcPr>
            <w:tcW w:w="4962" w:type="dxa"/>
            <w:tcBorders>
              <w:top w:val="nil"/>
              <w:bottom w:val="single" w:sz="4" w:space="0" w:color="auto"/>
              <w:right w:val="nil"/>
            </w:tcBorders>
            <w:shd w:val="clear" w:color="auto" w:fill="auto"/>
          </w:tcPr>
          <w:p w:rsidR="008D5671" w:rsidRPr="008D5671" w:rsidRDefault="008D5671" w:rsidP="008D5671">
            <w:pPr>
              <w:autoSpaceDE w:val="0"/>
              <w:autoSpaceDN w:val="0"/>
              <w:adjustRightInd w:val="0"/>
              <w:spacing w:before="120"/>
              <w:ind w:left="34"/>
              <w:jc w:val="both"/>
              <w:rPr>
                <w:rFonts w:ascii="Arial" w:hAnsi="Arial" w:cs="Arial"/>
                <w:sz w:val="22"/>
                <w:szCs w:val="22"/>
              </w:rPr>
            </w:pPr>
            <w:r w:rsidRPr="008D5671">
              <w:rPr>
                <w:rFonts w:ascii="Arial" w:hAnsi="Arial" w:cs="Arial"/>
                <w:sz w:val="22"/>
                <w:szCs w:val="22"/>
              </w:rPr>
              <w:t>Unidad de Servicios Generales San Carlos</w:t>
            </w:r>
          </w:p>
        </w:tc>
      </w:tr>
    </w:tbl>
    <w:p w:rsidR="008D5671" w:rsidRPr="008D5671" w:rsidRDefault="008D5671" w:rsidP="008D5671">
      <w:pPr>
        <w:spacing w:after="160" w:line="259" w:lineRule="auto"/>
        <w:jc w:val="both"/>
        <w:rPr>
          <w:rFonts w:ascii="Arial" w:eastAsia="Calibri" w:hAnsi="Arial" w:cs="Arial"/>
          <w:b/>
          <w:color w:val="000000"/>
          <w:lang w:val="es-CR" w:eastAsia="en-US"/>
        </w:rPr>
      </w:pPr>
    </w:p>
    <w:p w:rsidR="008D5671" w:rsidRPr="008D5671" w:rsidRDefault="008D5671" w:rsidP="008D5671">
      <w:pPr>
        <w:numPr>
          <w:ilvl w:val="0"/>
          <w:numId w:val="28"/>
        </w:numPr>
        <w:jc w:val="both"/>
        <w:rPr>
          <w:rFonts w:ascii="Arial" w:hAnsi="Arial" w:cs="Arial"/>
          <w:b/>
          <w:color w:val="000000"/>
          <w:lang w:val="es-CR"/>
        </w:rPr>
      </w:pPr>
      <w:r w:rsidRPr="008D5671">
        <w:rPr>
          <w:rFonts w:ascii="Arial" w:hAnsi="Arial" w:cs="Arial"/>
          <w:color w:val="000000"/>
          <w:lang w:val="es-CR"/>
        </w:rPr>
        <w:t>Presentar el estudio requerido para la categorización de las Unidades señaladas en el inciso anterior a más tardar el 30 de noviembre de 2018</w:t>
      </w:r>
    </w:p>
    <w:p w:rsidR="002B4AA8" w:rsidRDefault="002B4AA8" w:rsidP="008D5671">
      <w:pPr>
        <w:jc w:val="both"/>
        <w:rPr>
          <w:rFonts w:ascii="Arial" w:eastAsia="Cambria" w:hAnsi="Arial" w:cs="Arial"/>
          <w:lang w:val="es-ES_tradnl" w:eastAsia="en-US"/>
        </w:rPr>
      </w:pPr>
    </w:p>
    <w:p w:rsidR="00BB6A5E" w:rsidRPr="001E66DA" w:rsidRDefault="00BB6A5E" w:rsidP="008D5671">
      <w:pPr>
        <w:numPr>
          <w:ilvl w:val="0"/>
          <w:numId w:val="28"/>
        </w:numPr>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1E66DA" w:rsidRDefault="001E66DA" w:rsidP="001E66DA">
      <w:pPr>
        <w:pStyle w:val="Prrafodelista"/>
        <w:rPr>
          <w:rFonts w:ascii="Arial" w:hAnsi="Arial" w:cs="Arial"/>
        </w:rPr>
      </w:pPr>
    </w:p>
    <w:p w:rsidR="001E66DA" w:rsidRDefault="001E66DA" w:rsidP="001E66DA">
      <w:pPr>
        <w:jc w:val="both"/>
        <w:rPr>
          <w:rFonts w:ascii="Arial" w:hAnsi="Arial" w:cs="Arial"/>
        </w:rPr>
      </w:pPr>
    </w:p>
    <w:p w:rsidR="001E66DA" w:rsidRPr="001E66DA" w:rsidRDefault="001E66DA" w:rsidP="001E66DA">
      <w:pPr>
        <w:keepNext/>
        <w:spacing w:after="160" w:line="259" w:lineRule="auto"/>
        <w:jc w:val="both"/>
        <w:outlineLvl w:val="6"/>
        <w:rPr>
          <w:rFonts w:ascii="Arial" w:eastAsia="Calibri" w:hAnsi="Arial" w:cs="Arial"/>
          <w:b/>
          <w:sz w:val="18"/>
          <w:szCs w:val="16"/>
          <w:lang w:val="es-CR" w:eastAsia="en-US"/>
        </w:rPr>
      </w:pPr>
      <w:r w:rsidRPr="001E66DA">
        <w:rPr>
          <w:rFonts w:ascii="Arial" w:eastAsia="Calibri" w:hAnsi="Arial" w:cs="Arial"/>
          <w:b/>
          <w:sz w:val="18"/>
          <w:szCs w:val="16"/>
          <w:lang w:val="es-CR" w:eastAsia="en-US"/>
        </w:rPr>
        <w:t>ANEXOS</w:t>
      </w:r>
    </w:p>
    <w:p w:rsidR="001E66DA" w:rsidRPr="001E66DA" w:rsidRDefault="001E66DA" w:rsidP="001E66DA">
      <w:pPr>
        <w:keepNext/>
        <w:spacing w:after="160" w:line="259" w:lineRule="auto"/>
        <w:jc w:val="both"/>
        <w:outlineLvl w:val="6"/>
        <w:rPr>
          <w:rFonts w:ascii="Arial" w:eastAsia="Calibri" w:hAnsi="Arial" w:cs="Arial"/>
          <w:b/>
          <w:sz w:val="16"/>
          <w:szCs w:val="16"/>
          <w:lang w:val="es-CR" w:eastAsia="en-US"/>
        </w:rPr>
      </w:pPr>
      <w:r w:rsidRPr="001E66DA">
        <w:rPr>
          <w:rFonts w:ascii="Arial" w:eastAsia="Calibri" w:hAnsi="Arial" w:cs="Arial"/>
          <w:b/>
          <w:sz w:val="16"/>
          <w:szCs w:val="16"/>
          <w:lang w:val="es-CR" w:eastAsia="en-US"/>
        </w:rPr>
        <w:t>Anexo 1                              Anexo 2                               Anexo 3</w:t>
      </w:r>
    </w:p>
    <w:p w:rsidR="001E66DA" w:rsidRPr="001E66DA" w:rsidRDefault="001E66DA" w:rsidP="001E66DA">
      <w:pPr>
        <w:keepNext/>
        <w:spacing w:after="160" w:line="259" w:lineRule="auto"/>
        <w:jc w:val="both"/>
        <w:outlineLvl w:val="6"/>
        <w:rPr>
          <w:rFonts w:ascii="Arial" w:eastAsia="Calibri" w:hAnsi="Arial" w:cs="Arial"/>
          <w:b/>
          <w:sz w:val="16"/>
          <w:szCs w:val="16"/>
          <w:lang w:val="es-CR" w:eastAsia="en-US"/>
        </w:rPr>
      </w:pPr>
      <w:r w:rsidRPr="001E66DA">
        <w:rPr>
          <w:rFonts w:ascii="Arial" w:eastAsia="Calibri" w:hAnsi="Arial" w:cs="Arial"/>
          <w:b/>
          <w:sz w:val="16"/>
          <w:szCs w:val="16"/>
          <w:lang w:val="es-CR" w:eastAsia="en-US"/>
        </w:rPr>
        <w:object w:dxaOrig="1311" w:dyaOrig="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42pt" o:ole="">
            <v:imagedata r:id="rId8" o:title=""/>
          </v:shape>
          <o:OLEObject Type="Embed" ProgID="AcroExch.Document.DC" ShapeID="_x0000_i1025" DrawAspect="Icon" ObjectID="_1596002142" r:id="rId9"/>
        </w:object>
      </w:r>
      <w:r w:rsidRPr="001E66DA">
        <w:rPr>
          <w:rFonts w:ascii="Arial" w:eastAsia="Calibri" w:hAnsi="Arial" w:cs="Arial"/>
          <w:b/>
          <w:sz w:val="16"/>
          <w:szCs w:val="16"/>
          <w:lang w:val="es-CR" w:eastAsia="en-US"/>
        </w:rPr>
        <w:t xml:space="preserve">                    </w:t>
      </w:r>
      <w:bookmarkStart w:id="1" w:name="_MON_1591768966"/>
      <w:bookmarkEnd w:id="1"/>
      <w:r w:rsidRPr="001E66DA">
        <w:rPr>
          <w:rFonts w:ascii="Arial" w:eastAsia="Calibri" w:hAnsi="Arial" w:cs="Arial"/>
          <w:b/>
          <w:sz w:val="16"/>
          <w:szCs w:val="16"/>
          <w:lang w:val="es-CR" w:eastAsia="en-US"/>
        </w:rPr>
        <w:object w:dxaOrig="1539" w:dyaOrig="994">
          <v:shape id="_x0000_i1026" type="#_x0000_t75" style="width:77.25pt;height:49.5pt" o:ole="">
            <v:imagedata r:id="rId10" o:title=""/>
          </v:shape>
          <o:OLEObject Type="Embed" ProgID="Word.Document.8" ShapeID="_x0000_i1026" DrawAspect="Icon" ObjectID="_1596002143" r:id="rId11">
            <o:FieldCodes>\s</o:FieldCodes>
          </o:OLEObject>
        </w:object>
      </w:r>
      <w:r w:rsidRPr="001E66DA">
        <w:rPr>
          <w:rFonts w:ascii="Arial" w:eastAsia="Calibri" w:hAnsi="Arial" w:cs="Arial"/>
          <w:b/>
          <w:sz w:val="16"/>
          <w:szCs w:val="16"/>
          <w:lang w:val="es-CR" w:eastAsia="en-US"/>
        </w:rPr>
        <w:t xml:space="preserve">               </w:t>
      </w:r>
      <w:bookmarkStart w:id="2" w:name="_MON_1595183962"/>
      <w:bookmarkEnd w:id="2"/>
      <w:r w:rsidRPr="001E66DA">
        <w:rPr>
          <w:rFonts w:ascii="Arial" w:eastAsia="Calibri" w:hAnsi="Arial" w:cs="Arial"/>
          <w:b/>
          <w:sz w:val="16"/>
          <w:szCs w:val="16"/>
          <w:lang w:val="es-CR" w:eastAsia="en-US"/>
        </w:rPr>
        <w:object w:dxaOrig="1534" w:dyaOrig="997">
          <v:shape id="_x0000_i1027" type="#_x0000_t75" style="width:76.5pt;height:49.5pt" o:ole="">
            <v:imagedata r:id="rId12" o:title=""/>
          </v:shape>
          <o:OLEObject Type="Embed" ProgID="Word.Document.8" ShapeID="_x0000_i1027" DrawAspect="Icon" ObjectID="_1596002144" r:id="rId13">
            <o:FieldCodes>\s</o:FieldCodes>
          </o:OLEObject>
        </w:object>
      </w:r>
    </w:p>
    <w:p w:rsidR="001E66DA" w:rsidRPr="008D5671" w:rsidRDefault="001E66DA" w:rsidP="001E66DA">
      <w:pPr>
        <w:jc w:val="both"/>
        <w:rPr>
          <w:rFonts w:ascii="Arial" w:hAnsi="Arial" w:cs="Arial"/>
        </w:rPr>
      </w:pPr>
    </w:p>
    <w:p w:rsidR="008D5671" w:rsidRDefault="008D5671" w:rsidP="008D5671">
      <w:pPr>
        <w:ind w:right="423"/>
        <w:jc w:val="both"/>
        <w:rPr>
          <w:rFonts w:ascii="Arial" w:hAnsi="Arial" w:cs="Arial"/>
        </w:rPr>
      </w:pPr>
    </w:p>
    <w:p w:rsidR="008D5671" w:rsidRPr="008D5671" w:rsidRDefault="008D5671" w:rsidP="008D5671">
      <w:pPr>
        <w:ind w:right="-91"/>
        <w:jc w:val="both"/>
        <w:rPr>
          <w:rFonts w:ascii="Arial" w:eastAsia="Calibri" w:hAnsi="Arial" w:cs="Arial"/>
          <w:b/>
          <w:color w:val="000000"/>
          <w:sz w:val="22"/>
          <w:szCs w:val="22"/>
          <w:lang w:eastAsia="en-US"/>
        </w:rPr>
      </w:pPr>
      <w:r w:rsidRPr="008D5671">
        <w:rPr>
          <w:rFonts w:ascii="Arial" w:eastAsia="Calibri" w:hAnsi="Arial" w:cs="Arial"/>
          <w:b/>
          <w:color w:val="000000"/>
          <w:sz w:val="22"/>
          <w:szCs w:val="22"/>
          <w:lang w:eastAsia="en-US"/>
        </w:rPr>
        <w:t>Palabras clave:  Estudio-Categorización - Técnico- Unidades-Administrativas</w:t>
      </w:r>
    </w:p>
    <w:p w:rsidR="008D5671" w:rsidRDefault="008D5671" w:rsidP="008D5671">
      <w:pPr>
        <w:ind w:right="423"/>
        <w:jc w:val="both"/>
        <w:rPr>
          <w:rFonts w:ascii="Arial" w:hAnsi="Arial" w:cs="Arial"/>
        </w:rPr>
      </w:pPr>
    </w:p>
    <w:p w:rsidR="008D5671" w:rsidRPr="008D5671" w:rsidRDefault="008D5671" w:rsidP="008D5671">
      <w:pPr>
        <w:ind w:right="423"/>
        <w:jc w:val="both"/>
        <w:rPr>
          <w:rFonts w:ascii="Arial" w:hAnsi="Arial" w:cs="Arial"/>
        </w:rPr>
      </w:pPr>
    </w:p>
    <w:p w:rsidR="00ED1939" w:rsidRPr="00B17C67" w:rsidRDefault="00ED1939" w:rsidP="00ED1939">
      <w:pPr>
        <w:ind w:left="392" w:right="-91"/>
        <w:jc w:val="both"/>
        <w:rPr>
          <w:rFonts w:ascii="Arial" w:hAnsi="Arial" w:cs="Arial"/>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2C0D34" w:rsidRDefault="002C0D34"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w:t>
      </w:r>
    </w:p>
    <w:p w:rsidR="0003651A" w:rsidRDefault="00956670" w:rsidP="00F41044">
      <w:pPr>
        <w:jc w:val="both"/>
        <w:rPr>
          <w:rFonts w:ascii="Arial" w:eastAsia="Cambria" w:hAnsi="Arial" w:cs="Arial"/>
          <w:sz w:val="22"/>
          <w:szCs w:val="22"/>
          <w:lang w:eastAsia="en-US"/>
        </w:rPr>
      </w:pPr>
      <w:r>
        <w:rPr>
          <w:rFonts w:ascii="Arial" w:eastAsia="Cambria" w:hAnsi="Arial" w:cs="Arial"/>
          <w:b/>
          <w:sz w:val="16"/>
          <w:szCs w:val="16"/>
          <w:lang w:val="es-ES_tradnl" w:eastAsia="en-US"/>
        </w:rPr>
        <w:t xml:space="preserve">        </w:t>
      </w:r>
    </w:p>
    <w:p w:rsidR="00F41044" w:rsidRDefault="00F41044" w:rsidP="00F41044">
      <w:pPr>
        <w:jc w:val="both"/>
        <w:rPr>
          <w:rFonts w:ascii="Arial" w:hAnsi="Arial" w:cs="Arial"/>
          <w:lang w:val="es-CR"/>
        </w:rPr>
      </w:pPr>
      <w:proofErr w:type="spellStart"/>
      <w:r w:rsidRPr="00F41044">
        <w:rPr>
          <w:rFonts w:ascii="Arial" w:eastAsia="Cambria" w:hAnsi="Arial" w:cs="Arial"/>
          <w:sz w:val="22"/>
          <w:szCs w:val="22"/>
          <w:lang w:eastAsia="en-US"/>
        </w:rPr>
        <w:t>ars</w:t>
      </w:r>
      <w:proofErr w:type="spellEnd"/>
      <w:r w:rsidR="00885F0A" w:rsidRPr="00885F0A">
        <w:rPr>
          <w:rFonts w:ascii="Arial" w:hAnsi="Arial" w:cs="Arial"/>
          <w:lang w:val="es-CR"/>
        </w:rPr>
        <w:t xml:space="preserve"> </w:t>
      </w:r>
    </w:p>
    <w:p w:rsidR="002C0D34" w:rsidRPr="00F41044" w:rsidRDefault="002C0D34" w:rsidP="00F41044">
      <w:pPr>
        <w:jc w:val="both"/>
        <w:rPr>
          <w:rFonts w:ascii="Arial" w:eastAsia="Cambria" w:hAnsi="Arial" w:cs="Arial"/>
          <w:sz w:val="22"/>
          <w:szCs w:val="22"/>
          <w:lang w:eastAsia="en-US"/>
        </w:rPr>
      </w:pPr>
    </w:p>
    <w:sectPr w:rsidR="002C0D34" w:rsidRPr="00F41044" w:rsidSect="00CE0215">
      <w:headerReference w:type="default" r:id="rId14"/>
      <w:footerReference w:type="default" r:id="rId15"/>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743" w:rsidRDefault="00EE4743">
      <w:r>
        <w:separator/>
      </w:r>
    </w:p>
  </w:endnote>
  <w:endnote w:type="continuationSeparator" w:id="0">
    <w:p w:rsidR="00EE4743" w:rsidRDefault="00EE4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743" w:rsidRDefault="00EE4743">
      <w:r>
        <w:separator/>
      </w:r>
    </w:p>
  </w:footnote>
  <w:footnote w:type="continuationSeparator" w:id="0">
    <w:p w:rsidR="00EE4743" w:rsidRDefault="00EE4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E64C7">
      <w:rPr>
        <w:rFonts w:ascii="Arial" w:eastAsia="Cambria" w:hAnsi="Arial" w:cs="Arial"/>
        <w:i/>
        <w:sz w:val="18"/>
        <w:szCs w:val="18"/>
        <w:lang w:val="es-ES_tradnl" w:eastAsia="x-none"/>
      </w:rPr>
      <w:t>8</w:t>
    </w:r>
    <w:r w:rsidR="00C33677">
      <w:rPr>
        <w:rFonts w:ascii="Arial" w:eastAsia="Cambria" w:hAnsi="Arial" w:cs="Arial"/>
        <w:i/>
        <w:sz w:val="18"/>
        <w:szCs w:val="18"/>
        <w:lang w:val="es-ES_tradnl" w:eastAsia="x-none"/>
      </w:rPr>
      <w:t>3</w:t>
    </w:r>
    <w:r w:rsidRPr="00D958BC">
      <w:rPr>
        <w:rFonts w:ascii="Arial" w:eastAsia="Cambria" w:hAnsi="Arial" w:cs="Arial"/>
        <w:i/>
        <w:sz w:val="18"/>
        <w:szCs w:val="18"/>
        <w:lang w:val="es-ES_tradnl" w:eastAsia="x-none"/>
      </w:rPr>
      <w:t xml:space="preserve">, Artículo </w:t>
    </w:r>
    <w:r w:rsidR="008D5671">
      <w:rPr>
        <w:rFonts w:ascii="Arial" w:eastAsia="Cambria" w:hAnsi="Arial" w:cs="Arial"/>
        <w:i/>
        <w:sz w:val="18"/>
        <w:szCs w:val="18"/>
        <w:lang w:val="es-ES_tradnl" w:eastAsia="x-none"/>
      </w:rPr>
      <w:t>10</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C33677">
      <w:rPr>
        <w:rFonts w:ascii="Arial" w:eastAsia="Cambria" w:hAnsi="Arial" w:cs="Arial"/>
        <w:i/>
        <w:sz w:val="18"/>
        <w:szCs w:val="18"/>
        <w:lang w:val="es-ES_tradnl" w:eastAsia="x-none"/>
      </w:rPr>
      <w:t>16</w:t>
    </w:r>
    <w:r w:rsidR="004C4D5D">
      <w:rPr>
        <w:rFonts w:ascii="Arial" w:eastAsia="Cambria" w:hAnsi="Arial" w:cs="Arial"/>
        <w:i/>
        <w:sz w:val="18"/>
        <w:szCs w:val="18"/>
        <w:lang w:val="es-ES_tradnl" w:eastAsia="x-none"/>
      </w:rPr>
      <w:t xml:space="preserve"> de agosto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E23B3B">
      <w:rPr>
        <w:rFonts w:ascii="Arial" w:eastAsia="Cambria" w:hAnsi="Arial" w:cs="Arial"/>
        <w:i/>
        <w:noProof/>
        <w:sz w:val="18"/>
        <w:szCs w:val="18"/>
        <w:lang w:val="es-ES_tradnl" w:eastAsia="x-none"/>
      </w:rPr>
      <w:t>4</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5723"/>
    <w:multiLevelType w:val="hybridMultilevel"/>
    <w:tmpl w:val="5F7692EE"/>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 w15:restartNumberingAfterBreak="0">
    <w:nsid w:val="04BA1516"/>
    <w:multiLevelType w:val="hybridMultilevel"/>
    <w:tmpl w:val="83942946"/>
    <w:lvl w:ilvl="0" w:tplc="3FE00490">
      <w:start w:val="1"/>
      <w:numFmt w:val="lowerLetter"/>
      <w:lvlText w:val="%1."/>
      <w:lvlJc w:val="left"/>
      <w:pPr>
        <w:ind w:left="927" w:hanging="36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CC47EF"/>
    <w:multiLevelType w:val="hybridMultilevel"/>
    <w:tmpl w:val="54628B28"/>
    <w:lvl w:ilvl="0" w:tplc="E4B0EA54">
      <w:start w:val="1"/>
      <w:numFmt w:val="decimal"/>
      <w:lvlText w:val="%1."/>
      <w:lvlJc w:val="left"/>
      <w:pPr>
        <w:ind w:left="1287" w:hanging="360"/>
      </w:pPr>
      <w:rPr>
        <w:b/>
      </w:r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4" w15:restartNumberingAfterBreak="0">
    <w:nsid w:val="0A3F55F2"/>
    <w:multiLevelType w:val="hybridMultilevel"/>
    <w:tmpl w:val="E4924792"/>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5" w15:restartNumberingAfterBreak="0">
    <w:nsid w:val="172F13DF"/>
    <w:multiLevelType w:val="multilevel"/>
    <w:tmpl w:val="1F204F0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1DA2001F"/>
    <w:multiLevelType w:val="hybridMultilevel"/>
    <w:tmpl w:val="0588860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6275BB8"/>
    <w:multiLevelType w:val="hybridMultilevel"/>
    <w:tmpl w:val="E4DC546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B5814EE"/>
    <w:multiLevelType w:val="hybridMultilevel"/>
    <w:tmpl w:val="D5B41434"/>
    <w:lvl w:ilvl="0" w:tplc="5F28020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E9F4300"/>
    <w:multiLevelType w:val="hybridMultilevel"/>
    <w:tmpl w:val="DA50AB4A"/>
    <w:lvl w:ilvl="0" w:tplc="6450B846">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2FA10167"/>
    <w:multiLevelType w:val="hybridMultilevel"/>
    <w:tmpl w:val="57FCAFEA"/>
    <w:lvl w:ilvl="0" w:tplc="22124DCA">
      <w:start w:val="1"/>
      <w:numFmt w:val="lowerLetter"/>
      <w:lvlText w:val="%1."/>
      <w:lvlJc w:val="left"/>
      <w:pPr>
        <w:ind w:left="436" w:hanging="360"/>
      </w:pPr>
      <w:rPr>
        <w:b/>
        <w:sz w:val="22"/>
      </w:rPr>
    </w:lvl>
    <w:lvl w:ilvl="1" w:tplc="140A0019" w:tentative="1">
      <w:start w:val="1"/>
      <w:numFmt w:val="lowerLetter"/>
      <w:lvlText w:val="%2."/>
      <w:lvlJc w:val="left"/>
      <w:pPr>
        <w:ind w:left="1156" w:hanging="360"/>
      </w:pPr>
    </w:lvl>
    <w:lvl w:ilvl="2" w:tplc="140A001B" w:tentative="1">
      <w:start w:val="1"/>
      <w:numFmt w:val="lowerRoman"/>
      <w:lvlText w:val="%3."/>
      <w:lvlJc w:val="right"/>
      <w:pPr>
        <w:ind w:left="1876" w:hanging="180"/>
      </w:pPr>
    </w:lvl>
    <w:lvl w:ilvl="3" w:tplc="140A000F" w:tentative="1">
      <w:start w:val="1"/>
      <w:numFmt w:val="decimal"/>
      <w:lvlText w:val="%4."/>
      <w:lvlJc w:val="left"/>
      <w:pPr>
        <w:ind w:left="2596" w:hanging="360"/>
      </w:pPr>
    </w:lvl>
    <w:lvl w:ilvl="4" w:tplc="140A0019" w:tentative="1">
      <w:start w:val="1"/>
      <w:numFmt w:val="lowerLetter"/>
      <w:lvlText w:val="%5."/>
      <w:lvlJc w:val="left"/>
      <w:pPr>
        <w:ind w:left="3316" w:hanging="360"/>
      </w:pPr>
    </w:lvl>
    <w:lvl w:ilvl="5" w:tplc="140A001B" w:tentative="1">
      <w:start w:val="1"/>
      <w:numFmt w:val="lowerRoman"/>
      <w:lvlText w:val="%6."/>
      <w:lvlJc w:val="right"/>
      <w:pPr>
        <w:ind w:left="4036" w:hanging="180"/>
      </w:pPr>
    </w:lvl>
    <w:lvl w:ilvl="6" w:tplc="140A000F" w:tentative="1">
      <w:start w:val="1"/>
      <w:numFmt w:val="decimal"/>
      <w:lvlText w:val="%7."/>
      <w:lvlJc w:val="left"/>
      <w:pPr>
        <w:ind w:left="4756" w:hanging="360"/>
      </w:pPr>
    </w:lvl>
    <w:lvl w:ilvl="7" w:tplc="140A0019" w:tentative="1">
      <w:start w:val="1"/>
      <w:numFmt w:val="lowerLetter"/>
      <w:lvlText w:val="%8."/>
      <w:lvlJc w:val="left"/>
      <w:pPr>
        <w:ind w:left="5476" w:hanging="360"/>
      </w:pPr>
    </w:lvl>
    <w:lvl w:ilvl="8" w:tplc="140A001B" w:tentative="1">
      <w:start w:val="1"/>
      <w:numFmt w:val="lowerRoman"/>
      <w:lvlText w:val="%9."/>
      <w:lvlJc w:val="right"/>
      <w:pPr>
        <w:ind w:left="6196" w:hanging="180"/>
      </w:pPr>
    </w:lvl>
  </w:abstractNum>
  <w:abstractNum w:abstractNumId="11" w15:restartNumberingAfterBreak="0">
    <w:nsid w:val="3C332ACF"/>
    <w:multiLevelType w:val="hybridMultilevel"/>
    <w:tmpl w:val="1D80247E"/>
    <w:lvl w:ilvl="0" w:tplc="140A0019">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2" w15:restartNumberingAfterBreak="0">
    <w:nsid w:val="435E2504"/>
    <w:multiLevelType w:val="hybridMultilevel"/>
    <w:tmpl w:val="4DA047B4"/>
    <w:lvl w:ilvl="0" w:tplc="13A28F42">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435E3D92"/>
    <w:multiLevelType w:val="hybridMultilevel"/>
    <w:tmpl w:val="CADC053A"/>
    <w:lvl w:ilvl="0" w:tplc="D65AC182">
      <w:start w:val="1"/>
      <w:numFmt w:val="lowerLetter"/>
      <w:lvlText w:val="%1."/>
      <w:lvlJc w:val="left"/>
      <w:pPr>
        <w:ind w:left="1440" w:hanging="360"/>
      </w:pPr>
      <w:rPr>
        <w:b/>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4" w15:restartNumberingAfterBreak="0">
    <w:nsid w:val="458375CA"/>
    <w:multiLevelType w:val="hybridMultilevel"/>
    <w:tmpl w:val="B44EC18A"/>
    <w:lvl w:ilvl="0" w:tplc="7F0A243C">
      <w:start w:val="1"/>
      <w:numFmt w:val="decimal"/>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5" w15:restartNumberingAfterBreak="0">
    <w:nsid w:val="4E195BF6"/>
    <w:multiLevelType w:val="hybridMultilevel"/>
    <w:tmpl w:val="A4D04B62"/>
    <w:lvl w:ilvl="0" w:tplc="140A0017">
      <w:start w:val="1"/>
      <w:numFmt w:val="lowerLetter"/>
      <w:lvlText w:val="%1)"/>
      <w:lvlJc w:val="left"/>
      <w:pPr>
        <w:ind w:left="720" w:hanging="360"/>
      </w:pPr>
    </w:lvl>
    <w:lvl w:ilvl="1" w:tplc="8006C776">
      <w:start w:val="1"/>
      <w:numFmt w:val="lowerLetter"/>
      <w:lvlText w:val="%2."/>
      <w:lvlJc w:val="left"/>
      <w:pPr>
        <w:ind w:left="1155" w:hanging="75"/>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511E3C94"/>
    <w:multiLevelType w:val="hybridMultilevel"/>
    <w:tmpl w:val="DBC81622"/>
    <w:lvl w:ilvl="0" w:tplc="8E78029E">
      <w:start w:val="1"/>
      <w:numFmt w:val="decimal"/>
      <w:lvlText w:val="%1."/>
      <w:lvlJc w:val="left"/>
      <w:pPr>
        <w:tabs>
          <w:tab w:val="num" w:pos="284"/>
        </w:tabs>
        <w:ind w:left="284" w:hanging="284"/>
      </w:pPr>
      <w:rPr>
        <w:rFonts w:ascii="Arial" w:hAnsi="Arial" w:hint="default"/>
        <w:b/>
        <w:i w:val="0"/>
        <w:sz w:val="22"/>
        <w:szCs w:val="22"/>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6094582F"/>
    <w:multiLevelType w:val="hybridMultilevel"/>
    <w:tmpl w:val="A6D24310"/>
    <w:lvl w:ilvl="0" w:tplc="140A000F">
      <w:start w:val="1"/>
      <w:numFmt w:val="decimal"/>
      <w:lvlText w:val="%1."/>
      <w:lvlJc w:val="left"/>
      <w:pPr>
        <w:ind w:left="2160" w:hanging="360"/>
      </w:pPr>
    </w:lvl>
    <w:lvl w:ilvl="1" w:tplc="140A0019" w:tentative="1">
      <w:start w:val="1"/>
      <w:numFmt w:val="lowerLetter"/>
      <w:lvlText w:val="%2."/>
      <w:lvlJc w:val="left"/>
      <w:pPr>
        <w:ind w:left="2880" w:hanging="360"/>
      </w:pPr>
    </w:lvl>
    <w:lvl w:ilvl="2" w:tplc="140A001B" w:tentative="1">
      <w:start w:val="1"/>
      <w:numFmt w:val="lowerRoman"/>
      <w:lvlText w:val="%3."/>
      <w:lvlJc w:val="right"/>
      <w:pPr>
        <w:ind w:left="3600" w:hanging="180"/>
      </w:pPr>
    </w:lvl>
    <w:lvl w:ilvl="3" w:tplc="140A000F" w:tentative="1">
      <w:start w:val="1"/>
      <w:numFmt w:val="decimal"/>
      <w:lvlText w:val="%4."/>
      <w:lvlJc w:val="left"/>
      <w:pPr>
        <w:ind w:left="4320" w:hanging="360"/>
      </w:pPr>
    </w:lvl>
    <w:lvl w:ilvl="4" w:tplc="140A0019" w:tentative="1">
      <w:start w:val="1"/>
      <w:numFmt w:val="lowerLetter"/>
      <w:lvlText w:val="%5."/>
      <w:lvlJc w:val="left"/>
      <w:pPr>
        <w:ind w:left="5040" w:hanging="360"/>
      </w:pPr>
    </w:lvl>
    <w:lvl w:ilvl="5" w:tplc="140A001B" w:tentative="1">
      <w:start w:val="1"/>
      <w:numFmt w:val="lowerRoman"/>
      <w:lvlText w:val="%6."/>
      <w:lvlJc w:val="right"/>
      <w:pPr>
        <w:ind w:left="5760" w:hanging="180"/>
      </w:pPr>
    </w:lvl>
    <w:lvl w:ilvl="6" w:tplc="140A000F" w:tentative="1">
      <w:start w:val="1"/>
      <w:numFmt w:val="decimal"/>
      <w:lvlText w:val="%7."/>
      <w:lvlJc w:val="left"/>
      <w:pPr>
        <w:ind w:left="6480" w:hanging="360"/>
      </w:pPr>
    </w:lvl>
    <w:lvl w:ilvl="7" w:tplc="140A0019" w:tentative="1">
      <w:start w:val="1"/>
      <w:numFmt w:val="lowerLetter"/>
      <w:lvlText w:val="%8."/>
      <w:lvlJc w:val="left"/>
      <w:pPr>
        <w:ind w:left="7200" w:hanging="360"/>
      </w:pPr>
    </w:lvl>
    <w:lvl w:ilvl="8" w:tplc="140A001B" w:tentative="1">
      <w:start w:val="1"/>
      <w:numFmt w:val="lowerRoman"/>
      <w:lvlText w:val="%9."/>
      <w:lvlJc w:val="right"/>
      <w:pPr>
        <w:ind w:left="7920" w:hanging="180"/>
      </w:pPr>
    </w:lvl>
  </w:abstractNum>
  <w:abstractNum w:abstractNumId="18" w15:restartNumberingAfterBreak="0">
    <w:nsid w:val="61F3008E"/>
    <w:multiLevelType w:val="hybridMultilevel"/>
    <w:tmpl w:val="A9965894"/>
    <w:lvl w:ilvl="0" w:tplc="BAE2E2EC">
      <w:start w:val="1"/>
      <w:numFmt w:val="decimal"/>
      <w:lvlText w:val="%1."/>
      <w:lvlJc w:val="left"/>
      <w:pPr>
        <w:ind w:left="752" w:hanging="360"/>
      </w:pPr>
      <w:rPr>
        <w:b/>
      </w:rPr>
    </w:lvl>
    <w:lvl w:ilvl="1" w:tplc="140A0019" w:tentative="1">
      <w:start w:val="1"/>
      <w:numFmt w:val="lowerLetter"/>
      <w:lvlText w:val="%2."/>
      <w:lvlJc w:val="left"/>
      <w:pPr>
        <w:ind w:left="1472" w:hanging="360"/>
      </w:pPr>
    </w:lvl>
    <w:lvl w:ilvl="2" w:tplc="140A001B" w:tentative="1">
      <w:start w:val="1"/>
      <w:numFmt w:val="lowerRoman"/>
      <w:lvlText w:val="%3."/>
      <w:lvlJc w:val="right"/>
      <w:pPr>
        <w:ind w:left="2192" w:hanging="180"/>
      </w:pPr>
    </w:lvl>
    <w:lvl w:ilvl="3" w:tplc="140A000F" w:tentative="1">
      <w:start w:val="1"/>
      <w:numFmt w:val="decimal"/>
      <w:lvlText w:val="%4."/>
      <w:lvlJc w:val="left"/>
      <w:pPr>
        <w:ind w:left="2912" w:hanging="360"/>
      </w:pPr>
    </w:lvl>
    <w:lvl w:ilvl="4" w:tplc="140A0019" w:tentative="1">
      <w:start w:val="1"/>
      <w:numFmt w:val="lowerLetter"/>
      <w:lvlText w:val="%5."/>
      <w:lvlJc w:val="left"/>
      <w:pPr>
        <w:ind w:left="3632" w:hanging="360"/>
      </w:pPr>
    </w:lvl>
    <w:lvl w:ilvl="5" w:tplc="140A001B" w:tentative="1">
      <w:start w:val="1"/>
      <w:numFmt w:val="lowerRoman"/>
      <w:lvlText w:val="%6."/>
      <w:lvlJc w:val="right"/>
      <w:pPr>
        <w:ind w:left="4352" w:hanging="180"/>
      </w:pPr>
    </w:lvl>
    <w:lvl w:ilvl="6" w:tplc="140A000F" w:tentative="1">
      <w:start w:val="1"/>
      <w:numFmt w:val="decimal"/>
      <w:lvlText w:val="%7."/>
      <w:lvlJc w:val="left"/>
      <w:pPr>
        <w:ind w:left="5072" w:hanging="360"/>
      </w:pPr>
    </w:lvl>
    <w:lvl w:ilvl="7" w:tplc="140A0019" w:tentative="1">
      <w:start w:val="1"/>
      <w:numFmt w:val="lowerLetter"/>
      <w:lvlText w:val="%8."/>
      <w:lvlJc w:val="left"/>
      <w:pPr>
        <w:ind w:left="5792" w:hanging="360"/>
      </w:pPr>
    </w:lvl>
    <w:lvl w:ilvl="8" w:tplc="140A001B" w:tentative="1">
      <w:start w:val="1"/>
      <w:numFmt w:val="lowerRoman"/>
      <w:lvlText w:val="%9."/>
      <w:lvlJc w:val="right"/>
      <w:pPr>
        <w:ind w:left="6512" w:hanging="180"/>
      </w:pPr>
    </w:lvl>
  </w:abstractNum>
  <w:abstractNum w:abstractNumId="19" w15:restartNumberingAfterBreak="0">
    <w:nsid w:val="687D414B"/>
    <w:multiLevelType w:val="hybridMultilevel"/>
    <w:tmpl w:val="25E413E8"/>
    <w:lvl w:ilvl="0" w:tplc="0ED41F50">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6B347EC5"/>
    <w:multiLevelType w:val="hybridMultilevel"/>
    <w:tmpl w:val="7C52EEBE"/>
    <w:lvl w:ilvl="0" w:tplc="A0F44B20">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 w15:restartNumberingAfterBreak="0">
    <w:nsid w:val="6F586283"/>
    <w:multiLevelType w:val="hybridMultilevel"/>
    <w:tmpl w:val="2898A12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70345397"/>
    <w:multiLevelType w:val="hybridMultilevel"/>
    <w:tmpl w:val="DBC81622"/>
    <w:lvl w:ilvl="0" w:tplc="8E78029E">
      <w:start w:val="1"/>
      <w:numFmt w:val="decimal"/>
      <w:lvlText w:val="%1."/>
      <w:lvlJc w:val="left"/>
      <w:pPr>
        <w:tabs>
          <w:tab w:val="num" w:pos="284"/>
        </w:tabs>
        <w:ind w:left="284" w:hanging="284"/>
      </w:pPr>
      <w:rPr>
        <w:rFonts w:ascii="Arial" w:hAnsi="Arial" w:hint="default"/>
        <w:b/>
        <w:i w:val="0"/>
        <w:sz w:val="22"/>
        <w:szCs w:val="22"/>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23E15B1"/>
    <w:multiLevelType w:val="hybridMultilevel"/>
    <w:tmpl w:val="A1F0DE66"/>
    <w:lvl w:ilvl="0" w:tplc="7696D67A">
      <w:start w:val="1"/>
      <w:numFmt w:val="lowerLetter"/>
      <w:lvlText w:val="%1."/>
      <w:lvlJc w:val="left"/>
      <w:pPr>
        <w:ind w:left="717" w:hanging="360"/>
      </w:pPr>
      <w:rPr>
        <w:b/>
      </w:rPr>
    </w:lvl>
    <w:lvl w:ilvl="1" w:tplc="140A0019" w:tentative="1">
      <w:start w:val="1"/>
      <w:numFmt w:val="lowerLetter"/>
      <w:lvlText w:val="%2."/>
      <w:lvlJc w:val="left"/>
      <w:pPr>
        <w:ind w:left="1437" w:hanging="360"/>
      </w:pPr>
    </w:lvl>
    <w:lvl w:ilvl="2" w:tplc="140A001B" w:tentative="1">
      <w:start w:val="1"/>
      <w:numFmt w:val="lowerRoman"/>
      <w:lvlText w:val="%3."/>
      <w:lvlJc w:val="right"/>
      <w:pPr>
        <w:ind w:left="2157" w:hanging="180"/>
      </w:pPr>
    </w:lvl>
    <w:lvl w:ilvl="3" w:tplc="140A000F" w:tentative="1">
      <w:start w:val="1"/>
      <w:numFmt w:val="decimal"/>
      <w:lvlText w:val="%4."/>
      <w:lvlJc w:val="left"/>
      <w:pPr>
        <w:ind w:left="2877" w:hanging="360"/>
      </w:pPr>
    </w:lvl>
    <w:lvl w:ilvl="4" w:tplc="140A0019" w:tentative="1">
      <w:start w:val="1"/>
      <w:numFmt w:val="lowerLetter"/>
      <w:lvlText w:val="%5."/>
      <w:lvlJc w:val="left"/>
      <w:pPr>
        <w:ind w:left="3597" w:hanging="360"/>
      </w:pPr>
    </w:lvl>
    <w:lvl w:ilvl="5" w:tplc="140A001B" w:tentative="1">
      <w:start w:val="1"/>
      <w:numFmt w:val="lowerRoman"/>
      <w:lvlText w:val="%6."/>
      <w:lvlJc w:val="right"/>
      <w:pPr>
        <w:ind w:left="4317" w:hanging="180"/>
      </w:pPr>
    </w:lvl>
    <w:lvl w:ilvl="6" w:tplc="140A000F" w:tentative="1">
      <w:start w:val="1"/>
      <w:numFmt w:val="decimal"/>
      <w:lvlText w:val="%7."/>
      <w:lvlJc w:val="left"/>
      <w:pPr>
        <w:ind w:left="5037" w:hanging="360"/>
      </w:pPr>
    </w:lvl>
    <w:lvl w:ilvl="7" w:tplc="140A0019" w:tentative="1">
      <w:start w:val="1"/>
      <w:numFmt w:val="lowerLetter"/>
      <w:lvlText w:val="%8."/>
      <w:lvlJc w:val="left"/>
      <w:pPr>
        <w:ind w:left="5757" w:hanging="360"/>
      </w:pPr>
    </w:lvl>
    <w:lvl w:ilvl="8" w:tplc="140A001B" w:tentative="1">
      <w:start w:val="1"/>
      <w:numFmt w:val="lowerRoman"/>
      <w:lvlText w:val="%9."/>
      <w:lvlJc w:val="right"/>
      <w:pPr>
        <w:ind w:left="6477" w:hanging="180"/>
      </w:pPr>
    </w:lvl>
  </w:abstractNum>
  <w:abstractNum w:abstractNumId="24" w15:restartNumberingAfterBreak="0">
    <w:nsid w:val="7713603E"/>
    <w:multiLevelType w:val="hybridMultilevel"/>
    <w:tmpl w:val="B810DCA6"/>
    <w:lvl w:ilvl="0" w:tplc="532AE9C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7AF73062"/>
    <w:multiLevelType w:val="hybridMultilevel"/>
    <w:tmpl w:val="CD9429B6"/>
    <w:lvl w:ilvl="0" w:tplc="60B21C56">
      <w:start w:val="1"/>
      <w:numFmt w:val="lowerLetter"/>
      <w:lvlText w:val="%1."/>
      <w:lvlJc w:val="left"/>
      <w:pPr>
        <w:ind w:left="360" w:hanging="360"/>
      </w:pPr>
      <w:rPr>
        <w:b/>
        <w:i w:val="0"/>
        <w:strike w:val="0"/>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6"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7B802659"/>
    <w:multiLevelType w:val="hybridMultilevel"/>
    <w:tmpl w:val="B9545FB8"/>
    <w:lvl w:ilvl="0" w:tplc="B0B6E75A">
      <w:start w:val="2"/>
      <w:numFmt w:val="lowerLetter"/>
      <w:lvlText w:val="%1."/>
      <w:lvlJc w:val="left"/>
      <w:pPr>
        <w:ind w:left="144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7ECE0380"/>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26"/>
  </w:num>
  <w:num w:numId="3">
    <w:abstractNumId w:val="11"/>
  </w:num>
  <w:num w:numId="4">
    <w:abstractNumId w:val="17"/>
  </w:num>
  <w:num w:numId="5">
    <w:abstractNumId w:val="0"/>
  </w:num>
  <w:num w:numId="6">
    <w:abstractNumId w:val="12"/>
  </w:num>
  <w:num w:numId="7">
    <w:abstractNumId w:val="28"/>
  </w:num>
  <w:num w:numId="8">
    <w:abstractNumId w:val="27"/>
  </w:num>
  <w:num w:numId="9">
    <w:abstractNumId w:val="13"/>
  </w:num>
  <w:num w:numId="10">
    <w:abstractNumId w:val="8"/>
  </w:num>
  <w:num w:numId="11">
    <w:abstractNumId w:val="24"/>
  </w:num>
  <w:num w:numId="12">
    <w:abstractNumId w:val="25"/>
  </w:num>
  <w:num w:numId="13">
    <w:abstractNumId w:val="3"/>
  </w:num>
  <w:num w:numId="14">
    <w:abstractNumId w:val="7"/>
  </w:num>
  <w:num w:numId="15">
    <w:abstractNumId w:val="6"/>
  </w:num>
  <w:num w:numId="16">
    <w:abstractNumId w:val="15"/>
  </w:num>
  <w:num w:numId="17">
    <w:abstractNumId w:val="14"/>
  </w:num>
  <w:num w:numId="18">
    <w:abstractNumId w:val="19"/>
  </w:num>
  <w:num w:numId="19">
    <w:abstractNumId w:val="18"/>
  </w:num>
  <w:num w:numId="20">
    <w:abstractNumId w:val="9"/>
  </w:num>
  <w:num w:numId="21">
    <w:abstractNumId w:val="23"/>
  </w:num>
  <w:num w:numId="22">
    <w:abstractNumId w:val="21"/>
  </w:num>
  <w:num w:numId="23">
    <w:abstractNumId w:val="4"/>
  </w:num>
  <w:num w:numId="24">
    <w:abstractNumId w:val="5"/>
  </w:num>
  <w:num w:numId="25">
    <w:abstractNumId w:val="20"/>
  </w:num>
  <w:num w:numId="26">
    <w:abstractNumId w:val="1"/>
  </w:num>
  <w:num w:numId="27">
    <w:abstractNumId w:val="22"/>
  </w:num>
  <w:num w:numId="28">
    <w:abstractNumId w:val="10"/>
  </w:num>
  <w:num w:numId="29">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6BE8"/>
    <w:rsid w:val="000A6D52"/>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837"/>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A00"/>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66DA"/>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50B47"/>
    <w:rsid w:val="002535D4"/>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714"/>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4D5D"/>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603C4D"/>
    <w:rsid w:val="006059E6"/>
    <w:rsid w:val="00607B7C"/>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0BF8"/>
    <w:rsid w:val="006A2A49"/>
    <w:rsid w:val="006A3233"/>
    <w:rsid w:val="006A362E"/>
    <w:rsid w:val="006A4A3E"/>
    <w:rsid w:val="006B08A7"/>
    <w:rsid w:val="006B0A68"/>
    <w:rsid w:val="006B0D38"/>
    <w:rsid w:val="006B1523"/>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4C2D"/>
    <w:rsid w:val="00865845"/>
    <w:rsid w:val="00866EEF"/>
    <w:rsid w:val="008757CC"/>
    <w:rsid w:val="008765DF"/>
    <w:rsid w:val="00876EC4"/>
    <w:rsid w:val="00877453"/>
    <w:rsid w:val="0088064F"/>
    <w:rsid w:val="00880D5D"/>
    <w:rsid w:val="008833CD"/>
    <w:rsid w:val="00885F0A"/>
    <w:rsid w:val="00887FCC"/>
    <w:rsid w:val="008903EF"/>
    <w:rsid w:val="0089169E"/>
    <w:rsid w:val="00891B08"/>
    <w:rsid w:val="00893524"/>
    <w:rsid w:val="00893FAC"/>
    <w:rsid w:val="0089404C"/>
    <w:rsid w:val="008A03C9"/>
    <w:rsid w:val="008A0859"/>
    <w:rsid w:val="008A1075"/>
    <w:rsid w:val="008A160D"/>
    <w:rsid w:val="008A28F0"/>
    <w:rsid w:val="008A53D4"/>
    <w:rsid w:val="008A5C04"/>
    <w:rsid w:val="008B0272"/>
    <w:rsid w:val="008B43F5"/>
    <w:rsid w:val="008C03A0"/>
    <w:rsid w:val="008C0ED3"/>
    <w:rsid w:val="008C0FFF"/>
    <w:rsid w:val="008C162C"/>
    <w:rsid w:val="008C2C97"/>
    <w:rsid w:val="008C3A8F"/>
    <w:rsid w:val="008C57E2"/>
    <w:rsid w:val="008C7007"/>
    <w:rsid w:val="008D06F2"/>
    <w:rsid w:val="008D0FEC"/>
    <w:rsid w:val="008D1976"/>
    <w:rsid w:val="008D3FB0"/>
    <w:rsid w:val="008D5671"/>
    <w:rsid w:val="008D74B3"/>
    <w:rsid w:val="008D7C3D"/>
    <w:rsid w:val="008E0D8C"/>
    <w:rsid w:val="008E18B1"/>
    <w:rsid w:val="008E23D2"/>
    <w:rsid w:val="008E3496"/>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45C56"/>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4E67"/>
    <w:rsid w:val="00A559D5"/>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0640"/>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7C67"/>
    <w:rsid w:val="00B2081E"/>
    <w:rsid w:val="00B219FF"/>
    <w:rsid w:val="00B227C4"/>
    <w:rsid w:val="00B229A7"/>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229BF"/>
    <w:rsid w:val="00C25779"/>
    <w:rsid w:val="00C3150F"/>
    <w:rsid w:val="00C320EC"/>
    <w:rsid w:val="00C331DC"/>
    <w:rsid w:val="00C33677"/>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4DDC"/>
    <w:rsid w:val="00D20378"/>
    <w:rsid w:val="00D216A2"/>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5701"/>
    <w:rsid w:val="00E0753C"/>
    <w:rsid w:val="00E07EE4"/>
    <w:rsid w:val="00E11488"/>
    <w:rsid w:val="00E12B5E"/>
    <w:rsid w:val="00E158A2"/>
    <w:rsid w:val="00E16F62"/>
    <w:rsid w:val="00E1750C"/>
    <w:rsid w:val="00E22D17"/>
    <w:rsid w:val="00E23B3B"/>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74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4469"/>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A09B26"/>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character" w:styleId="Textoennegrita">
    <w:name w:val="Strong"/>
    <w:basedOn w:val="Fuentedeprrafopredeter"/>
    <w:uiPriority w:val="22"/>
    <w:qFormat/>
    <w:rsid w:val="00F34469"/>
    <w:rPr>
      <w:b w:val="0"/>
      <w:bCs w:val="0"/>
    </w:rPr>
  </w:style>
  <w:style w:type="paragraph" w:customStyle="1" w:styleId="Default">
    <w:name w:val="Default"/>
    <w:rsid w:val="00F3446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Documento_de_Microsoft_Word_97-20031.doc"/><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Documento_de_Microsoft_Word_97-2003.doc"/><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F865F-C58B-4F88-B1DA-3C47FEDD4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1195</Words>
  <Characters>6817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40</cp:revision>
  <cp:lastPrinted>2018-08-16T23:03:00Z</cp:lastPrinted>
  <dcterms:created xsi:type="dcterms:W3CDTF">2018-05-02T21:37:00Z</dcterms:created>
  <dcterms:modified xsi:type="dcterms:W3CDTF">2018-08-17T15:09:00Z</dcterms:modified>
</cp:coreProperties>
</file>