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932C33">
        <w:rPr>
          <w:rFonts w:ascii="Arial" w:hAnsi="Arial" w:cs="Arial"/>
          <w:b/>
          <w:bCs/>
          <w:iCs/>
          <w:sz w:val="26"/>
          <w:szCs w:val="22"/>
          <w:lang w:val="es-CR"/>
        </w:rPr>
        <w:t>471</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932C33" w:rsidRDefault="00932C33"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Alexander Berrocal Jiménez, Vicerrector de Investigación y Extensión</w:t>
            </w:r>
          </w:p>
          <w:p w:rsidR="00932C33" w:rsidRDefault="00932C33"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Oscar Chaverri Quirós, Director Escuela Ciencias de los Materiales</w:t>
            </w:r>
          </w:p>
          <w:p w:rsidR="001A7DF9" w:rsidRDefault="00932C33" w:rsidP="008401FA">
            <w:pPr>
              <w:jc w:val="both"/>
              <w:rPr>
                <w:rFonts w:ascii="Arial" w:hAnsi="Arial" w:cs="Arial"/>
              </w:rPr>
            </w:pPr>
            <w:r w:rsidRPr="00932C33">
              <w:rPr>
                <w:rFonts w:ascii="Arial" w:hAnsi="Arial" w:cs="Arial"/>
              </w:rPr>
              <w:t>Ing. José Luis León Salazar, Coordinador del Centro de Investigación y Extensión en Materiales</w:t>
            </w:r>
          </w:p>
          <w:p w:rsidR="00932C33" w:rsidRDefault="00932C33" w:rsidP="008401FA">
            <w:pPr>
              <w:jc w:val="both"/>
              <w:rPr>
                <w:rFonts w:ascii="Arial" w:hAnsi="Arial" w:cs="Arial"/>
              </w:rPr>
            </w:pPr>
            <w:r>
              <w:rPr>
                <w:rFonts w:ascii="Arial" w:hAnsi="Arial" w:cs="Arial"/>
              </w:rPr>
              <w:t>Dra. Hannia Rodríguez Mora, Directora Departamento de Recursos Humanos</w:t>
            </w:r>
          </w:p>
          <w:p w:rsidR="00932C33" w:rsidRDefault="00932C33" w:rsidP="008401FA">
            <w:pPr>
              <w:jc w:val="both"/>
              <w:rPr>
                <w:rFonts w:ascii="Arial" w:hAnsi="Arial" w:cs="Arial"/>
              </w:rPr>
            </w:pPr>
            <w:r>
              <w:rPr>
                <w:rFonts w:ascii="Arial" w:hAnsi="Arial" w:cs="Arial"/>
              </w:rPr>
              <w:t xml:space="preserve">MAE. Marcel Hernández Mora, Director </w:t>
            </w:r>
            <w:proofErr w:type="spellStart"/>
            <w:r>
              <w:rPr>
                <w:rFonts w:ascii="Arial" w:hAnsi="Arial" w:cs="Arial"/>
              </w:rPr>
              <w:t>a.i.</w:t>
            </w:r>
            <w:proofErr w:type="spellEnd"/>
            <w:r>
              <w:rPr>
                <w:rFonts w:ascii="Arial" w:hAnsi="Arial" w:cs="Arial"/>
              </w:rPr>
              <w:t xml:space="preserve"> Oficina de Planificación Institucional</w:t>
            </w:r>
          </w:p>
          <w:p w:rsidR="00932C33" w:rsidRPr="008E0D8C" w:rsidRDefault="00932C33" w:rsidP="008401FA">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5243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8401FA">
              <w:rPr>
                <w:rFonts w:ascii="Arial" w:eastAsia="Cambria" w:hAnsi="Arial" w:cs="Arial"/>
                <w:b/>
                <w:sz w:val="22"/>
                <w:szCs w:val="22"/>
                <w:lang w:val="es-ES_tradnl" w:eastAsia="en-US"/>
              </w:rPr>
              <w:t>7</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0A0FF7">
              <w:rPr>
                <w:rFonts w:ascii="Arial" w:eastAsia="Cambria" w:hAnsi="Arial" w:cs="Arial"/>
                <w:b/>
                <w:sz w:val="22"/>
                <w:szCs w:val="22"/>
                <w:lang w:val="es-ES_tradnl" w:eastAsia="en-US"/>
              </w:rPr>
              <w:t>junio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932C33">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Pr="00FF209C">
              <w:rPr>
                <w:rFonts w:ascii="Arial" w:eastAsia="Calibri" w:hAnsi="Arial" w:cs="Arial"/>
                <w:b/>
                <w:sz w:val="22"/>
                <w:szCs w:val="22"/>
              </w:rPr>
              <w:t>7</w:t>
            </w:r>
            <w:r w:rsidR="008401FA">
              <w:rPr>
                <w:rFonts w:ascii="Arial" w:eastAsia="Calibri" w:hAnsi="Arial" w:cs="Arial"/>
                <w:b/>
                <w:sz w:val="22"/>
                <w:szCs w:val="22"/>
              </w:rPr>
              <w:t>8</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AD0968">
              <w:rPr>
                <w:rFonts w:ascii="Arial" w:eastAsia="Calibri" w:hAnsi="Arial" w:cs="Arial"/>
                <w:b/>
                <w:sz w:val="22"/>
                <w:szCs w:val="22"/>
              </w:rPr>
              <w:t>1</w:t>
            </w:r>
            <w:r w:rsidR="00932C33">
              <w:rPr>
                <w:rFonts w:ascii="Arial" w:eastAsia="Calibri" w:hAnsi="Arial" w:cs="Arial"/>
                <w:b/>
                <w:sz w:val="22"/>
                <w:szCs w:val="22"/>
              </w:rPr>
              <w:t>9</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F52439">
              <w:rPr>
                <w:rFonts w:ascii="Arial" w:eastAsia="Calibri" w:hAnsi="Arial" w:cs="Arial"/>
                <w:b/>
                <w:sz w:val="22"/>
                <w:szCs w:val="22"/>
              </w:rPr>
              <w:t>2</w:t>
            </w:r>
            <w:r w:rsidR="008401FA">
              <w:rPr>
                <w:rFonts w:ascii="Arial" w:eastAsia="Calibri" w:hAnsi="Arial" w:cs="Arial"/>
                <w:b/>
                <w:sz w:val="22"/>
                <w:szCs w:val="22"/>
              </w:rPr>
              <w:t>7</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junio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932C33" w:rsidRPr="00932C33">
              <w:rPr>
                <w:rFonts w:ascii="Arial" w:eastAsia="Calibri" w:hAnsi="Arial" w:cs="Arial"/>
                <w:b/>
                <w:sz w:val="22"/>
                <w:szCs w:val="22"/>
              </w:rPr>
              <w:t>Modificación de las condiciones y características de la plaza CF2950, Asistente de Administración 2, adscrita a la Dirección Vicerrectoría Investigación y Extensión, aprobada mediante el acuerdo de la Sesión Ordinaria No. 3000, Artículo 8, del 30 de noviembre de 2016, “Renovación y Reconversión de Plazas 2017 – Fondos FEES</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B4AA8" w:rsidRDefault="002B4AA8" w:rsidP="007742A1">
      <w:pPr>
        <w:jc w:val="both"/>
        <w:rPr>
          <w:rFonts w:ascii="Arial" w:eastAsia="Cambria" w:hAnsi="Arial" w:cs="Arial"/>
          <w:lang w:val="es-ES_tradnl" w:eastAsia="en-US"/>
        </w:rPr>
      </w:pPr>
    </w:p>
    <w:p w:rsidR="00932C33" w:rsidRPr="00932C33" w:rsidRDefault="00932C33" w:rsidP="00932C33">
      <w:pPr>
        <w:rPr>
          <w:rFonts w:ascii="Arial" w:hAnsi="Arial" w:cs="Arial"/>
          <w:b/>
        </w:rPr>
      </w:pPr>
      <w:r w:rsidRPr="00932C33">
        <w:rPr>
          <w:rFonts w:ascii="Arial" w:hAnsi="Arial" w:cs="Arial"/>
          <w:b/>
        </w:rPr>
        <w:t>RESULTANDO QUE:</w:t>
      </w:r>
    </w:p>
    <w:p w:rsidR="00932C33" w:rsidRPr="00932C33" w:rsidRDefault="00932C33" w:rsidP="00932C33">
      <w:pPr>
        <w:rPr>
          <w:rFonts w:ascii="Arial" w:hAnsi="Arial" w:cs="Arial"/>
          <w:b/>
          <w:sz w:val="16"/>
          <w:szCs w:val="16"/>
        </w:rPr>
      </w:pPr>
    </w:p>
    <w:p w:rsidR="00932C33" w:rsidRPr="00932C33" w:rsidRDefault="00932C33" w:rsidP="00932C33">
      <w:pPr>
        <w:numPr>
          <w:ilvl w:val="0"/>
          <w:numId w:val="46"/>
        </w:numPr>
        <w:ind w:left="426" w:hanging="426"/>
        <w:contextualSpacing/>
        <w:jc w:val="both"/>
        <w:rPr>
          <w:rFonts w:ascii="Arial" w:eastAsia="Calibri" w:hAnsi="Arial" w:cs="Arial"/>
          <w:lang w:val="es-CR" w:eastAsia="en-US"/>
        </w:rPr>
      </w:pPr>
      <w:r w:rsidRPr="00932C33">
        <w:rPr>
          <w:rFonts w:ascii="Arial" w:eastAsia="Calibri" w:hAnsi="Arial" w:cs="Arial"/>
          <w:lang w:val="es-CR" w:eastAsia="en-US"/>
        </w:rPr>
        <w:t>El Artículo 21 del Reglamento del Consejo Institucional indica lo siguiente:</w:t>
      </w:r>
    </w:p>
    <w:p w:rsidR="00932C33" w:rsidRPr="00932C33" w:rsidRDefault="00932C33" w:rsidP="00932C33">
      <w:pPr>
        <w:ind w:left="709"/>
        <w:jc w:val="both"/>
        <w:rPr>
          <w:rFonts w:ascii="Arial" w:eastAsia="Calibri" w:hAnsi="Arial" w:cs="Arial"/>
          <w:i/>
          <w:lang w:val="es-CR" w:eastAsia="en-US"/>
        </w:rPr>
      </w:pPr>
    </w:p>
    <w:p w:rsidR="00932C33" w:rsidRPr="00932C33" w:rsidRDefault="00932C33" w:rsidP="00932C33">
      <w:pPr>
        <w:ind w:left="993" w:right="333"/>
        <w:jc w:val="both"/>
        <w:rPr>
          <w:rFonts w:ascii="Arial" w:eastAsia="Calibri" w:hAnsi="Arial" w:cs="Arial"/>
          <w:i/>
          <w:lang w:val="es-CR" w:eastAsia="en-US"/>
        </w:rPr>
      </w:pPr>
      <w:r w:rsidRPr="00932C33">
        <w:rPr>
          <w:rFonts w:ascii="Arial" w:eastAsia="Calibri" w:hAnsi="Arial" w:cs="Arial"/>
          <w:i/>
          <w:lang w:val="es-CR" w:eastAsia="en-US"/>
        </w:rPr>
        <w:t xml:space="preserve">“Son asuntos propios del análisis y dictamen de la Comisión de Planificación y Administración según su competencia los siguientes: </w:t>
      </w:r>
    </w:p>
    <w:p w:rsidR="00932C33" w:rsidRPr="00932C33" w:rsidRDefault="00932C33" w:rsidP="00932C33">
      <w:pPr>
        <w:ind w:left="993" w:right="333"/>
        <w:jc w:val="both"/>
        <w:rPr>
          <w:rFonts w:ascii="Arial" w:eastAsia="Calibri" w:hAnsi="Arial" w:cs="Arial"/>
          <w:i/>
          <w:sz w:val="10"/>
          <w:szCs w:val="10"/>
          <w:lang w:val="es-CR" w:eastAsia="en-US"/>
        </w:rPr>
      </w:pPr>
    </w:p>
    <w:p w:rsidR="00932C33" w:rsidRPr="00932C33" w:rsidRDefault="00932C33" w:rsidP="00932C33">
      <w:pPr>
        <w:ind w:left="993" w:right="333"/>
        <w:jc w:val="both"/>
        <w:rPr>
          <w:rFonts w:ascii="Arial" w:eastAsia="Calibri" w:hAnsi="Arial" w:cs="Arial"/>
          <w:i/>
          <w:lang w:val="es-CR" w:eastAsia="en-US"/>
        </w:rPr>
      </w:pPr>
      <w:r w:rsidRPr="00932C33">
        <w:rPr>
          <w:rFonts w:ascii="Arial" w:eastAsia="Calibri" w:hAnsi="Arial" w:cs="Arial"/>
          <w:i/>
          <w:lang w:val="es-CR" w:eastAsia="en-US"/>
        </w:rPr>
        <w:t>…</w:t>
      </w:r>
    </w:p>
    <w:p w:rsidR="00932C33" w:rsidRPr="00932C33" w:rsidRDefault="00932C33" w:rsidP="00932C33">
      <w:pPr>
        <w:rPr>
          <w:rFonts w:ascii="Arial" w:hAnsi="Arial" w:cs="Arial"/>
          <w:b/>
          <w:sz w:val="16"/>
          <w:szCs w:val="16"/>
        </w:rPr>
      </w:pPr>
    </w:p>
    <w:p w:rsidR="00932C33" w:rsidRPr="00932C33" w:rsidRDefault="00932C33" w:rsidP="00932C33">
      <w:pPr>
        <w:ind w:left="993" w:right="333"/>
        <w:jc w:val="both"/>
        <w:rPr>
          <w:rFonts w:ascii="Arial" w:eastAsia="Calibri" w:hAnsi="Arial" w:cs="Arial"/>
          <w:i/>
          <w:lang w:val="es-CR" w:eastAsia="en-US"/>
        </w:rPr>
      </w:pPr>
      <w:r w:rsidRPr="00932C33">
        <w:rPr>
          <w:rFonts w:ascii="Arial" w:eastAsia="Calibri" w:hAnsi="Arial" w:cs="Arial"/>
          <w:i/>
          <w:lang w:val="es-CR" w:eastAsia="en-US"/>
        </w:rPr>
        <w:t>c. La creación, modificación y eliminación de plazas.”</w:t>
      </w:r>
    </w:p>
    <w:p w:rsidR="00932C33" w:rsidRPr="00932C33" w:rsidRDefault="00932C33" w:rsidP="00932C33">
      <w:pPr>
        <w:ind w:left="360"/>
        <w:jc w:val="both"/>
        <w:rPr>
          <w:rFonts w:ascii="Arial" w:eastAsia="Calibri" w:hAnsi="Arial" w:cs="Arial"/>
          <w:lang w:val="es-CR" w:eastAsia="en-US"/>
        </w:rPr>
      </w:pPr>
    </w:p>
    <w:p w:rsidR="00932C33" w:rsidRPr="00932C33" w:rsidRDefault="00932C33" w:rsidP="00932C33">
      <w:pPr>
        <w:numPr>
          <w:ilvl w:val="0"/>
          <w:numId w:val="46"/>
        </w:numPr>
        <w:ind w:left="426" w:hanging="426"/>
        <w:contextualSpacing/>
        <w:jc w:val="both"/>
        <w:rPr>
          <w:rFonts w:ascii="Arial" w:eastAsia="Calibri" w:hAnsi="Arial" w:cs="Arial"/>
          <w:lang w:val="es-CR" w:eastAsia="en-US"/>
        </w:rPr>
      </w:pPr>
      <w:r w:rsidRPr="00932C33">
        <w:rPr>
          <w:rFonts w:ascii="Arial" w:eastAsia="Calibri" w:hAnsi="Arial" w:cs="Arial"/>
          <w:lang w:val="es-CR" w:eastAsia="en-US"/>
        </w:rPr>
        <w:t>Las Normas de Contratación y Remuneración del Personal del Instituto Tecnológico de Costa Rica, indican en su Artículo 2, inciso a, lo siguiente:</w:t>
      </w:r>
    </w:p>
    <w:p w:rsidR="00932C33" w:rsidRPr="00932C33" w:rsidRDefault="00932C33" w:rsidP="00932C33">
      <w:pPr>
        <w:rPr>
          <w:rFonts w:ascii="Arial" w:hAnsi="Arial" w:cs="Arial"/>
          <w:b/>
          <w:sz w:val="20"/>
          <w:szCs w:val="20"/>
        </w:rPr>
      </w:pPr>
    </w:p>
    <w:p w:rsidR="00932C33" w:rsidRPr="00932C33" w:rsidRDefault="00932C33" w:rsidP="00932C33">
      <w:pPr>
        <w:ind w:left="993" w:right="333"/>
        <w:jc w:val="both"/>
        <w:rPr>
          <w:rFonts w:ascii="Arial" w:eastAsia="Calibri" w:hAnsi="Arial" w:cs="Arial"/>
          <w:i/>
          <w:sz w:val="22"/>
          <w:szCs w:val="22"/>
          <w:lang w:val="es-CR" w:eastAsia="en-US"/>
        </w:rPr>
      </w:pPr>
      <w:r w:rsidRPr="00932C33">
        <w:rPr>
          <w:rFonts w:ascii="Arial" w:eastAsia="Calibri" w:hAnsi="Arial" w:cs="Arial"/>
          <w:i/>
          <w:lang w:val="es-CR" w:eastAsia="en-US"/>
        </w:rPr>
        <w:t>“</w:t>
      </w:r>
      <w:r w:rsidRPr="00932C33">
        <w:rPr>
          <w:rFonts w:ascii="Arial" w:eastAsia="Calibri" w:hAnsi="Arial" w:cs="Arial"/>
          <w:i/>
          <w:sz w:val="22"/>
          <w:szCs w:val="22"/>
          <w:lang w:val="es-CR" w:eastAsia="en-US"/>
        </w:rPr>
        <w:t>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p>
    <w:p w:rsidR="00932C33" w:rsidRPr="00932C33" w:rsidRDefault="00932C33" w:rsidP="00932C33">
      <w:pPr>
        <w:ind w:left="426"/>
        <w:jc w:val="both"/>
        <w:rPr>
          <w:rFonts w:ascii="Arial" w:eastAsia="Calibri" w:hAnsi="Arial" w:cs="Arial"/>
          <w:lang w:val="es-CR" w:eastAsia="en-US"/>
        </w:rPr>
      </w:pPr>
    </w:p>
    <w:p w:rsidR="00932C33" w:rsidRPr="00932C33" w:rsidRDefault="00932C33" w:rsidP="00932C33">
      <w:pPr>
        <w:numPr>
          <w:ilvl w:val="0"/>
          <w:numId w:val="46"/>
        </w:numPr>
        <w:ind w:left="426" w:hanging="426"/>
        <w:contextualSpacing/>
        <w:jc w:val="both"/>
        <w:rPr>
          <w:rFonts w:ascii="Arial" w:eastAsia="Calibri" w:hAnsi="Arial" w:cs="Arial"/>
          <w:lang w:val="es-CR" w:eastAsia="en-US"/>
        </w:rPr>
      </w:pPr>
      <w:r w:rsidRPr="00932C33">
        <w:rPr>
          <w:rFonts w:ascii="Arial" w:eastAsia="Calibri" w:hAnsi="Arial" w:cs="Arial"/>
          <w:lang w:val="es-CR" w:eastAsia="en-US"/>
        </w:rPr>
        <w:t xml:space="preserve">El Consejo Institucional aprobó en la Sesión Ordinaria No. 2989, Artículo 7, del 14 de setiembre de 2016, el acuerdo de renovación y reconversión de plazas 2017, </w:t>
      </w:r>
      <w:r w:rsidRPr="00932C33">
        <w:rPr>
          <w:rFonts w:ascii="Arial" w:eastAsia="Calibri" w:hAnsi="Arial" w:cs="Arial"/>
          <w:lang w:val="es-CR" w:eastAsia="en-US"/>
        </w:rPr>
        <w:lastRenderedPageBreak/>
        <w:t>en el cual se encuentra la plaza CF-2950, asignada a la Dirección Vicerrectoría de Investigación y Extensión, con el siguiente detalle:</w:t>
      </w:r>
    </w:p>
    <w:p w:rsidR="00932C33" w:rsidRPr="00932C33" w:rsidRDefault="00932C33" w:rsidP="00932C33">
      <w:pPr>
        <w:ind w:left="708"/>
        <w:contextualSpacing/>
        <w:jc w:val="both"/>
        <w:rPr>
          <w:rFonts w:ascii="Arial" w:eastAsia="Calibri" w:hAnsi="Arial" w:cs="Arial"/>
          <w:lang w:eastAsia="en-US"/>
        </w:rPr>
      </w:pPr>
      <w:bookmarkStart w:id="0" w:name="_GoBack"/>
      <w:bookmarkEnd w:id="0"/>
    </w:p>
    <w:tbl>
      <w:tblPr>
        <w:tblW w:w="10632" w:type="dxa"/>
        <w:tblInd w:w="-356" w:type="dxa"/>
        <w:tblLayout w:type="fixed"/>
        <w:tblCellMar>
          <w:left w:w="70" w:type="dxa"/>
          <w:right w:w="70" w:type="dxa"/>
        </w:tblCellMar>
        <w:tblLook w:val="04A0" w:firstRow="1" w:lastRow="0" w:firstColumn="1" w:lastColumn="0" w:noHBand="0" w:noVBand="1"/>
      </w:tblPr>
      <w:tblGrid>
        <w:gridCol w:w="468"/>
        <w:gridCol w:w="8"/>
        <w:gridCol w:w="517"/>
        <w:gridCol w:w="709"/>
        <w:gridCol w:w="709"/>
        <w:gridCol w:w="1417"/>
        <w:gridCol w:w="567"/>
        <w:gridCol w:w="567"/>
        <w:gridCol w:w="567"/>
        <w:gridCol w:w="567"/>
        <w:gridCol w:w="1134"/>
        <w:gridCol w:w="1418"/>
        <w:gridCol w:w="1984"/>
      </w:tblGrid>
      <w:tr w:rsidR="00932C33" w:rsidRPr="00932C33" w:rsidTr="00291012">
        <w:trPr>
          <w:trHeight w:val="768"/>
          <w:tblHeader/>
        </w:trPr>
        <w:tc>
          <w:tcPr>
            <w:tcW w:w="476"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rsidR="00932C33" w:rsidRPr="00932C33" w:rsidRDefault="00932C33" w:rsidP="00932C33">
            <w:pPr>
              <w:jc w:val="center"/>
              <w:rPr>
                <w:rFonts w:ascii="Calibri" w:hAnsi="Calibri"/>
                <w:b/>
                <w:bCs/>
                <w:color w:val="FFFFFF"/>
                <w:sz w:val="18"/>
                <w:szCs w:val="18"/>
                <w:lang w:val="es-CR" w:eastAsia="es-CR"/>
              </w:rPr>
            </w:pPr>
            <w:r w:rsidRPr="00932C33">
              <w:rPr>
                <w:rFonts w:ascii="Calibri" w:hAnsi="Calibri"/>
                <w:b/>
                <w:bCs/>
                <w:color w:val="FFFFFF"/>
                <w:sz w:val="18"/>
                <w:szCs w:val="18"/>
                <w:lang w:val="es-CR" w:eastAsia="es-CR"/>
              </w:rPr>
              <w:t>#</w:t>
            </w:r>
          </w:p>
        </w:tc>
        <w:tc>
          <w:tcPr>
            <w:tcW w:w="517" w:type="dxa"/>
            <w:tcBorders>
              <w:top w:val="single" w:sz="4" w:space="0" w:color="auto"/>
              <w:left w:val="nil"/>
              <w:bottom w:val="single" w:sz="4" w:space="0" w:color="auto"/>
              <w:right w:val="single" w:sz="4" w:space="0" w:color="auto"/>
            </w:tcBorders>
            <w:shd w:val="clear" w:color="auto" w:fill="0070C0"/>
            <w:textDirection w:val="btLr"/>
            <w:vAlign w:val="center"/>
            <w:hideMark/>
          </w:tcPr>
          <w:p w:rsidR="00932C33" w:rsidRPr="00932C33" w:rsidRDefault="00932C33" w:rsidP="00932C33">
            <w:pPr>
              <w:jc w:val="center"/>
              <w:rPr>
                <w:rFonts w:ascii="Calibri" w:hAnsi="Calibri"/>
                <w:b/>
                <w:bCs/>
                <w:color w:val="FFFFFF"/>
                <w:sz w:val="18"/>
                <w:szCs w:val="18"/>
                <w:lang w:val="es-CR" w:eastAsia="es-CR"/>
              </w:rPr>
            </w:pPr>
            <w:r w:rsidRPr="00932C33">
              <w:rPr>
                <w:rFonts w:ascii="Calibri" w:hAnsi="Calibri"/>
                <w:b/>
                <w:bCs/>
                <w:color w:val="FFFFFF"/>
                <w:sz w:val="18"/>
                <w:szCs w:val="18"/>
                <w:lang w:val="es-CR" w:eastAsia="es-CR"/>
              </w:rPr>
              <w:t>Programa</w:t>
            </w:r>
          </w:p>
        </w:tc>
        <w:tc>
          <w:tcPr>
            <w:tcW w:w="709" w:type="dxa"/>
            <w:tcBorders>
              <w:top w:val="single" w:sz="4" w:space="0" w:color="auto"/>
              <w:left w:val="nil"/>
              <w:bottom w:val="single" w:sz="4" w:space="0" w:color="auto"/>
              <w:right w:val="single" w:sz="4" w:space="0" w:color="auto"/>
            </w:tcBorders>
            <w:shd w:val="clear" w:color="auto" w:fill="0070C0"/>
            <w:vAlign w:val="center"/>
            <w:hideMark/>
          </w:tcPr>
          <w:p w:rsidR="00932C33" w:rsidRPr="00932C33" w:rsidRDefault="00932C33" w:rsidP="00932C33">
            <w:pPr>
              <w:jc w:val="center"/>
              <w:rPr>
                <w:rFonts w:ascii="Calibri" w:hAnsi="Calibri"/>
                <w:b/>
                <w:bCs/>
                <w:color w:val="FFFFFF"/>
                <w:sz w:val="18"/>
                <w:szCs w:val="18"/>
                <w:lang w:val="es-CR" w:eastAsia="es-CR"/>
              </w:rPr>
            </w:pPr>
            <w:r w:rsidRPr="00932C33">
              <w:rPr>
                <w:rFonts w:ascii="Calibri" w:hAnsi="Calibri"/>
                <w:b/>
                <w:bCs/>
                <w:color w:val="FFFFFF"/>
                <w:sz w:val="18"/>
                <w:szCs w:val="18"/>
                <w:lang w:val="es-CR" w:eastAsia="es-CR"/>
              </w:rPr>
              <w:t>Actual</w:t>
            </w:r>
            <w:r w:rsidRPr="00932C33">
              <w:rPr>
                <w:rFonts w:ascii="Calibri" w:hAnsi="Calibri"/>
                <w:b/>
                <w:bCs/>
                <w:color w:val="FFFFFF"/>
                <w:sz w:val="18"/>
                <w:szCs w:val="18"/>
                <w:lang w:val="es-CR" w:eastAsia="es-CR"/>
              </w:rPr>
              <w:br/>
              <w:t xml:space="preserve">Cód. plaza </w:t>
            </w:r>
          </w:p>
        </w:tc>
        <w:tc>
          <w:tcPr>
            <w:tcW w:w="709" w:type="dxa"/>
            <w:tcBorders>
              <w:top w:val="single" w:sz="4" w:space="0" w:color="auto"/>
              <w:left w:val="nil"/>
              <w:bottom w:val="single" w:sz="4" w:space="0" w:color="auto"/>
              <w:right w:val="single" w:sz="4" w:space="0" w:color="auto"/>
            </w:tcBorders>
            <w:shd w:val="clear" w:color="auto" w:fill="0070C0"/>
            <w:vAlign w:val="center"/>
            <w:hideMark/>
          </w:tcPr>
          <w:p w:rsidR="00932C33" w:rsidRPr="00932C33" w:rsidRDefault="00932C33" w:rsidP="00932C33">
            <w:pPr>
              <w:jc w:val="center"/>
              <w:rPr>
                <w:rFonts w:ascii="Calibri" w:hAnsi="Calibri"/>
                <w:b/>
                <w:bCs/>
                <w:color w:val="FFFFFF"/>
                <w:sz w:val="18"/>
                <w:szCs w:val="18"/>
                <w:lang w:val="es-CR" w:eastAsia="es-CR"/>
              </w:rPr>
            </w:pPr>
            <w:r w:rsidRPr="00932C33">
              <w:rPr>
                <w:rFonts w:ascii="Calibri" w:hAnsi="Calibri"/>
                <w:b/>
                <w:bCs/>
                <w:color w:val="FFFFFF"/>
                <w:sz w:val="18"/>
                <w:szCs w:val="18"/>
                <w:lang w:val="es-CR" w:eastAsia="es-CR"/>
              </w:rPr>
              <w:t>Nuevo</w:t>
            </w:r>
            <w:r w:rsidRPr="00932C33">
              <w:rPr>
                <w:rFonts w:ascii="Calibri" w:hAnsi="Calibri"/>
                <w:b/>
                <w:bCs/>
                <w:color w:val="FFFFFF"/>
                <w:sz w:val="18"/>
                <w:szCs w:val="18"/>
                <w:lang w:val="es-CR" w:eastAsia="es-CR"/>
              </w:rPr>
              <w:br/>
              <w:t xml:space="preserve">Cód. plaza </w:t>
            </w:r>
          </w:p>
        </w:tc>
        <w:tc>
          <w:tcPr>
            <w:tcW w:w="1417" w:type="dxa"/>
            <w:tcBorders>
              <w:top w:val="single" w:sz="4" w:space="0" w:color="auto"/>
              <w:left w:val="nil"/>
              <w:bottom w:val="single" w:sz="4" w:space="0" w:color="auto"/>
              <w:right w:val="single" w:sz="4" w:space="0" w:color="auto"/>
            </w:tcBorders>
            <w:shd w:val="clear" w:color="auto" w:fill="0070C0"/>
            <w:vAlign w:val="center"/>
            <w:hideMark/>
          </w:tcPr>
          <w:p w:rsidR="00932C33" w:rsidRPr="00932C33" w:rsidRDefault="00932C33" w:rsidP="00932C33">
            <w:pPr>
              <w:jc w:val="center"/>
              <w:rPr>
                <w:rFonts w:ascii="Calibri" w:hAnsi="Calibri"/>
                <w:b/>
                <w:bCs/>
                <w:color w:val="FFFFFF"/>
                <w:sz w:val="18"/>
                <w:szCs w:val="18"/>
                <w:lang w:val="es-CR" w:eastAsia="es-CR"/>
              </w:rPr>
            </w:pPr>
            <w:r w:rsidRPr="00932C33">
              <w:rPr>
                <w:rFonts w:ascii="Calibri" w:hAnsi="Calibri"/>
                <w:b/>
                <w:bCs/>
                <w:color w:val="FFFFFF"/>
                <w:sz w:val="18"/>
                <w:szCs w:val="18"/>
                <w:lang w:val="es-CR" w:eastAsia="es-CR"/>
              </w:rPr>
              <w:t>Puesto</w:t>
            </w:r>
          </w:p>
        </w:tc>
        <w:tc>
          <w:tcPr>
            <w:tcW w:w="567" w:type="dxa"/>
            <w:tcBorders>
              <w:top w:val="single" w:sz="4" w:space="0" w:color="auto"/>
              <w:left w:val="nil"/>
              <w:bottom w:val="single" w:sz="4" w:space="0" w:color="auto"/>
              <w:right w:val="single" w:sz="4" w:space="0" w:color="auto"/>
            </w:tcBorders>
            <w:shd w:val="clear" w:color="auto" w:fill="0070C0"/>
            <w:textDirection w:val="btLr"/>
            <w:vAlign w:val="center"/>
            <w:hideMark/>
          </w:tcPr>
          <w:p w:rsidR="00932C33" w:rsidRPr="00932C33" w:rsidRDefault="00932C33" w:rsidP="00932C33">
            <w:pPr>
              <w:jc w:val="center"/>
              <w:rPr>
                <w:rFonts w:ascii="Calibri" w:hAnsi="Calibri"/>
                <w:b/>
                <w:bCs/>
                <w:color w:val="FFFFFF"/>
                <w:sz w:val="18"/>
                <w:szCs w:val="18"/>
                <w:lang w:val="es-CR" w:eastAsia="es-CR"/>
              </w:rPr>
            </w:pPr>
            <w:r w:rsidRPr="00932C33">
              <w:rPr>
                <w:rFonts w:ascii="Calibri" w:hAnsi="Calibri"/>
                <w:b/>
                <w:bCs/>
                <w:color w:val="FFFFFF"/>
                <w:sz w:val="18"/>
                <w:szCs w:val="18"/>
                <w:lang w:val="es-CR" w:eastAsia="es-CR"/>
              </w:rPr>
              <w:t>Categoría</w:t>
            </w:r>
          </w:p>
        </w:tc>
        <w:tc>
          <w:tcPr>
            <w:tcW w:w="567" w:type="dxa"/>
            <w:tcBorders>
              <w:top w:val="single" w:sz="4" w:space="0" w:color="auto"/>
              <w:left w:val="nil"/>
              <w:bottom w:val="single" w:sz="4" w:space="0" w:color="auto"/>
              <w:right w:val="single" w:sz="4" w:space="0" w:color="auto"/>
            </w:tcBorders>
            <w:shd w:val="clear" w:color="auto" w:fill="0070C0"/>
            <w:textDirection w:val="btLr"/>
            <w:vAlign w:val="center"/>
            <w:hideMark/>
          </w:tcPr>
          <w:p w:rsidR="00932C33" w:rsidRPr="00932C33" w:rsidRDefault="00932C33" w:rsidP="00932C33">
            <w:pPr>
              <w:jc w:val="center"/>
              <w:rPr>
                <w:rFonts w:ascii="Calibri" w:hAnsi="Calibri"/>
                <w:b/>
                <w:bCs/>
                <w:color w:val="FFFFFF"/>
                <w:sz w:val="18"/>
                <w:szCs w:val="18"/>
                <w:lang w:val="es-CR" w:eastAsia="es-CR"/>
              </w:rPr>
            </w:pPr>
            <w:r w:rsidRPr="00932C33">
              <w:rPr>
                <w:rFonts w:ascii="Calibri" w:hAnsi="Calibri"/>
                <w:b/>
                <w:bCs/>
                <w:color w:val="FFFFFF"/>
                <w:sz w:val="18"/>
                <w:szCs w:val="18"/>
                <w:lang w:val="es-CR" w:eastAsia="es-CR"/>
              </w:rPr>
              <w:t>Jornada</w:t>
            </w:r>
          </w:p>
        </w:tc>
        <w:tc>
          <w:tcPr>
            <w:tcW w:w="567" w:type="dxa"/>
            <w:tcBorders>
              <w:top w:val="single" w:sz="4" w:space="0" w:color="auto"/>
              <w:left w:val="nil"/>
              <w:bottom w:val="single" w:sz="4" w:space="0" w:color="auto"/>
              <w:right w:val="single" w:sz="4" w:space="0" w:color="auto"/>
            </w:tcBorders>
            <w:shd w:val="clear" w:color="auto" w:fill="0070C0"/>
            <w:textDirection w:val="btLr"/>
            <w:vAlign w:val="center"/>
            <w:hideMark/>
          </w:tcPr>
          <w:p w:rsidR="00932C33" w:rsidRPr="00932C33" w:rsidRDefault="00932C33" w:rsidP="00932C33">
            <w:pPr>
              <w:jc w:val="center"/>
              <w:rPr>
                <w:rFonts w:ascii="Calibri" w:hAnsi="Calibri"/>
                <w:b/>
                <w:bCs/>
                <w:color w:val="FFFFFF"/>
                <w:sz w:val="18"/>
                <w:szCs w:val="18"/>
                <w:lang w:val="es-CR" w:eastAsia="es-CR"/>
              </w:rPr>
            </w:pPr>
            <w:r w:rsidRPr="00932C33">
              <w:rPr>
                <w:rFonts w:ascii="Calibri" w:hAnsi="Calibri"/>
                <w:b/>
                <w:bCs/>
                <w:color w:val="FFFFFF"/>
                <w:sz w:val="18"/>
                <w:szCs w:val="18"/>
                <w:lang w:val="es-CR" w:eastAsia="es-CR"/>
              </w:rPr>
              <w:t>Periodo (meses)</w:t>
            </w:r>
          </w:p>
        </w:tc>
        <w:tc>
          <w:tcPr>
            <w:tcW w:w="567" w:type="dxa"/>
            <w:tcBorders>
              <w:top w:val="single" w:sz="4" w:space="0" w:color="auto"/>
              <w:left w:val="nil"/>
              <w:bottom w:val="single" w:sz="4" w:space="0" w:color="auto"/>
              <w:right w:val="single" w:sz="4" w:space="0" w:color="auto"/>
            </w:tcBorders>
            <w:shd w:val="clear" w:color="auto" w:fill="0070C0"/>
            <w:vAlign w:val="center"/>
            <w:hideMark/>
          </w:tcPr>
          <w:p w:rsidR="00932C33" w:rsidRPr="00932C33" w:rsidRDefault="00932C33" w:rsidP="00932C33">
            <w:pPr>
              <w:jc w:val="center"/>
              <w:rPr>
                <w:rFonts w:ascii="Calibri" w:hAnsi="Calibri"/>
                <w:b/>
                <w:bCs/>
                <w:color w:val="FFFFFF"/>
                <w:sz w:val="18"/>
                <w:szCs w:val="18"/>
                <w:lang w:val="es-CR" w:eastAsia="es-CR"/>
              </w:rPr>
            </w:pPr>
            <w:r w:rsidRPr="00932C33">
              <w:rPr>
                <w:rFonts w:ascii="Calibri" w:hAnsi="Calibri"/>
                <w:b/>
                <w:bCs/>
                <w:color w:val="FFFFFF"/>
                <w:sz w:val="18"/>
                <w:szCs w:val="18"/>
                <w:lang w:val="es-CR" w:eastAsia="es-CR"/>
              </w:rPr>
              <w:t>TCE</w:t>
            </w:r>
          </w:p>
        </w:tc>
        <w:tc>
          <w:tcPr>
            <w:tcW w:w="1134" w:type="dxa"/>
            <w:tcBorders>
              <w:top w:val="single" w:sz="4" w:space="0" w:color="auto"/>
              <w:left w:val="nil"/>
              <w:bottom w:val="single" w:sz="4" w:space="0" w:color="auto"/>
              <w:right w:val="single" w:sz="4" w:space="0" w:color="auto"/>
            </w:tcBorders>
            <w:shd w:val="clear" w:color="auto" w:fill="0070C0"/>
            <w:vAlign w:val="center"/>
            <w:hideMark/>
          </w:tcPr>
          <w:p w:rsidR="00932C33" w:rsidRPr="00932C33" w:rsidRDefault="00932C33" w:rsidP="00932C33">
            <w:pPr>
              <w:jc w:val="center"/>
              <w:rPr>
                <w:rFonts w:ascii="Calibri" w:hAnsi="Calibri"/>
                <w:b/>
                <w:bCs/>
                <w:color w:val="FFFFFF"/>
                <w:sz w:val="18"/>
                <w:szCs w:val="18"/>
                <w:lang w:val="es-CR" w:eastAsia="es-CR"/>
              </w:rPr>
            </w:pPr>
            <w:proofErr w:type="spellStart"/>
            <w:r w:rsidRPr="00932C33">
              <w:rPr>
                <w:rFonts w:ascii="Calibri" w:hAnsi="Calibri"/>
                <w:b/>
                <w:bCs/>
                <w:color w:val="FFFFFF"/>
                <w:sz w:val="18"/>
                <w:szCs w:val="18"/>
                <w:lang w:val="es-CR" w:eastAsia="es-CR"/>
              </w:rPr>
              <w:t>Nombram</w:t>
            </w:r>
            <w:proofErr w:type="spellEnd"/>
            <w:r w:rsidRPr="00932C33">
              <w:rPr>
                <w:rFonts w:ascii="Calibri" w:hAnsi="Calibri"/>
                <w:b/>
                <w:bCs/>
                <w:color w:val="FFFFFF"/>
                <w:sz w:val="18"/>
                <w:szCs w:val="18"/>
                <w:lang w:val="es-CR" w:eastAsia="es-CR"/>
              </w:rPr>
              <w:t>.</w:t>
            </w:r>
          </w:p>
        </w:tc>
        <w:tc>
          <w:tcPr>
            <w:tcW w:w="1418" w:type="dxa"/>
            <w:tcBorders>
              <w:top w:val="single" w:sz="4" w:space="0" w:color="auto"/>
              <w:left w:val="nil"/>
              <w:bottom w:val="single" w:sz="4" w:space="0" w:color="auto"/>
              <w:right w:val="single" w:sz="4" w:space="0" w:color="auto"/>
            </w:tcBorders>
            <w:shd w:val="clear" w:color="auto" w:fill="0070C0"/>
            <w:vAlign w:val="center"/>
            <w:hideMark/>
          </w:tcPr>
          <w:p w:rsidR="00932C33" w:rsidRPr="00932C33" w:rsidRDefault="00932C33" w:rsidP="00932C33">
            <w:pPr>
              <w:jc w:val="center"/>
              <w:rPr>
                <w:rFonts w:ascii="Calibri" w:hAnsi="Calibri"/>
                <w:b/>
                <w:bCs/>
                <w:color w:val="FFFFFF"/>
                <w:sz w:val="18"/>
                <w:szCs w:val="18"/>
                <w:lang w:val="es-CR" w:eastAsia="es-CR"/>
              </w:rPr>
            </w:pPr>
            <w:r w:rsidRPr="00932C33">
              <w:rPr>
                <w:rFonts w:ascii="Calibri" w:hAnsi="Calibri"/>
                <w:b/>
                <w:bCs/>
                <w:color w:val="FFFFFF"/>
                <w:sz w:val="18"/>
                <w:szCs w:val="18"/>
                <w:lang w:val="es-CR" w:eastAsia="es-CR"/>
              </w:rPr>
              <w:t>Adscrita a:</w:t>
            </w:r>
          </w:p>
        </w:tc>
        <w:tc>
          <w:tcPr>
            <w:tcW w:w="1984" w:type="dxa"/>
            <w:tcBorders>
              <w:top w:val="single" w:sz="4" w:space="0" w:color="auto"/>
              <w:left w:val="nil"/>
              <w:bottom w:val="single" w:sz="4" w:space="0" w:color="auto"/>
              <w:right w:val="single" w:sz="4" w:space="0" w:color="auto"/>
            </w:tcBorders>
            <w:shd w:val="clear" w:color="auto" w:fill="0070C0"/>
            <w:vAlign w:val="center"/>
            <w:hideMark/>
          </w:tcPr>
          <w:p w:rsidR="00932C33" w:rsidRPr="00932C33" w:rsidRDefault="00932C33" w:rsidP="00932C33">
            <w:pPr>
              <w:jc w:val="center"/>
              <w:rPr>
                <w:rFonts w:ascii="Calibri" w:hAnsi="Calibri"/>
                <w:b/>
                <w:bCs/>
                <w:color w:val="FFFFFF"/>
                <w:sz w:val="16"/>
                <w:szCs w:val="16"/>
                <w:lang w:val="es-CR" w:eastAsia="es-CR"/>
              </w:rPr>
            </w:pPr>
            <w:r w:rsidRPr="00932C33">
              <w:rPr>
                <w:rFonts w:ascii="Calibri" w:hAnsi="Calibri"/>
                <w:b/>
                <w:bCs/>
                <w:color w:val="FFFFFF"/>
                <w:sz w:val="16"/>
                <w:szCs w:val="16"/>
                <w:lang w:val="es-CR" w:eastAsia="es-CR"/>
              </w:rPr>
              <w:t>Observaciones</w:t>
            </w:r>
            <w:r w:rsidRPr="00932C33">
              <w:rPr>
                <w:rFonts w:ascii="Calibri" w:hAnsi="Calibri"/>
                <w:b/>
                <w:bCs/>
                <w:color w:val="FFFFFF"/>
                <w:sz w:val="16"/>
                <w:szCs w:val="16"/>
                <w:lang w:val="es-CR" w:eastAsia="es-CR"/>
              </w:rPr>
              <w:br/>
              <w:t>Renovación y reconversión</w:t>
            </w:r>
          </w:p>
        </w:tc>
      </w:tr>
      <w:tr w:rsidR="00932C33" w:rsidRPr="00932C33" w:rsidTr="00291012">
        <w:trPr>
          <w:trHeight w:val="1197"/>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932C33" w:rsidRPr="00932C33" w:rsidRDefault="00932C33" w:rsidP="00932C33">
            <w:pPr>
              <w:jc w:val="center"/>
              <w:rPr>
                <w:rFonts w:ascii="Calibri" w:hAnsi="Calibri"/>
                <w:b/>
                <w:bCs/>
                <w:sz w:val="18"/>
                <w:szCs w:val="18"/>
                <w:lang w:val="es-CR" w:eastAsia="es-CR"/>
              </w:rPr>
            </w:pPr>
            <w:r w:rsidRPr="00932C33">
              <w:rPr>
                <w:rFonts w:ascii="Calibri" w:hAnsi="Calibri"/>
                <w:b/>
                <w:bCs/>
                <w:sz w:val="18"/>
                <w:szCs w:val="18"/>
                <w:lang w:val="es-CR" w:eastAsia="es-CR"/>
              </w:rPr>
              <w:t>198</w:t>
            </w:r>
          </w:p>
        </w:tc>
        <w:tc>
          <w:tcPr>
            <w:tcW w:w="525" w:type="dxa"/>
            <w:gridSpan w:val="2"/>
            <w:tcBorders>
              <w:top w:val="nil"/>
              <w:left w:val="nil"/>
              <w:bottom w:val="single" w:sz="4" w:space="0" w:color="auto"/>
              <w:right w:val="single" w:sz="4" w:space="0" w:color="auto"/>
            </w:tcBorders>
            <w:shd w:val="clear" w:color="auto" w:fill="auto"/>
            <w:vAlign w:val="center"/>
            <w:hideMark/>
          </w:tcPr>
          <w:p w:rsidR="00932C33" w:rsidRPr="00932C33" w:rsidRDefault="00932C33" w:rsidP="00932C33">
            <w:pPr>
              <w:jc w:val="center"/>
              <w:rPr>
                <w:rFonts w:ascii="Calibri" w:hAnsi="Calibri"/>
                <w:b/>
                <w:bCs/>
                <w:sz w:val="18"/>
                <w:szCs w:val="18"/>
                <w:lang w:val="es-CR" w:eastAsia="es-CR"/>
              </w:rPr>
            </w:pPr>
            <w:r w:rsidRPr="00932C33">
              <w:rPr>
                <w:rFonts w:ascii="Calibri" w:hAnsi="Calibri"/>
                <w:b/>
                <w:bCs/>
                <w:sz w:val="18"/>
                <w:szCs w:val="18"/>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932C33" w:rsidRPr="00932C33" w:rsidRDefault="00932C33" w:rsidP="00932C33">
            <w:pPr>
              <w:jc w:val="center"/>
              <w:rPr>
                <w:rFonts w:ascii="Calibri" w:hAnsi="Calibri"/>
                <w:color w:val="000000"/>
                <w:sz w:val="18"/>
                <w:szCs w:val="18"/>
                <w:lang w:val="es-CR" w:eastAsia="es-CR"/>
              </w:rPr>
            </w:pPr>
            <w:r w:rsidRPr="00932C33">
              <w:rPr>
                <w:rFonts w:ascii="Calibri" w:hAnsi="Calibri"/>
                <w:color w:val="000000"/>
                <w:sz w:val="18"/>
                <w:szCs w:val="18"/>
                <w:lang w:val="es-CR" w:eastAsia="es-CR"/>
              </w:rPr>
              <w:t>CT0319</w:t>
            </w:r>
          </w:p>
        </w:tc>
        <w:tc>
          <w:tcPr>
            <w:tcW w:w="709" w:type="dxa"/>
            <w:tcBorders>
              <w:top w:val="nil"/>
              <w:left w:val="nil"/>
              <w:bottom w:val="single" w:sz="4" w:space="0" w:color="auto"/>
              <w:right w:val="single" w:sz="4" w:space="0" w:color="auto"/>
            </w:tcBorders>
            <w:shd w:val="clear" w:color="auto" w:fill="auto"/>
            <w:noWrap/>
            <w:vAlign w:val="center"/>
            <w:hideMark/>
          </w:tcPr>
          <w:p w:rsidR="00932C33" w:rsidRPr="00932C33" w:rsidRDefault="00932C33" w:rsidP="00932C33">
            <w:pPr>
              <w:jc w:val="center"/>
              <w:rPr>
                <w:rFonts w:ascii="Calibri" w:hAnsi="Calibri"/>
                <w:color w:val="000000"/>
                <w:sz w:val="18"/>
                <w:szCs w:val="18"/>
                <w:lang w:val="es-CR" w:eastAsia="es-CR"/>
              </w:rPr>
            </w:pPr>
            <w:r w:rsidRPr="00932C33">
              <w:rPr>
                <w:rFonts w:ascii="Calibri" w:hAnsi="Calibri"/>
                <w:color w:val="000000"/>
                <w:sz w:val="18"/>
                <w:szCs w:val="18"/>
                <w:lang w:val="es-CR" w:eastAsia="es-CR"/>
              </w:rPr>
              <w:t>CF2950</w:t>
            </w:r>
          </w:p>
        </w:tc>
        <w:tc>
          <w:tcPr>
            <w:tcW w:w="1417" w:type="dxa"/>
            <w:tcBorders>
              <w:top w:val="nil"/>
              <w:left w:val="nil"/>
              <w:bottom w:val="single" w:sz="4" w:space="0" w:color="auto"/>
              <w:right w:val="single" w:sz="4" w:space="0" w:color="auto"/>
            </w:tcBorders>
            <w:shd w:val="clear" w:color="auto" w:fill="auto"/>
            <w:vAlign w:val="center"/>
            <w:hideMark/>
          </w:tcPr>
          <w:p w:rsidR="00932C33" w:rsidRPr="00932C33" w:rsidRDefault="00932C33" w:rsidP="00932C33">
            <w:pPr>
              <w:rPr>
                <w:rFonts w:ascii="Calibri" w:hAnsi="Calibri"/>
                <w:color w:val="000000"/>
                <w:sz w:val="18"/>
                <w:szCs w:val="18"/>
                <w:lang w:val="es-CR" w:eastAsia="es-CR"/>
              </w:rPr>
            </w:pPr>
            <w:r w:rsidRPr="00932C33">
              <w:rPr>
                <w:rFonts w:ascii="Calibri" w:hAnsi="Calibri"/>
                <w:color w:val="000000"/>
                <w:sz w:val="18"/>
                <w:szCs w:val="18"/>
                <w:lang w:val="es-CR" w:eastAsia="es-CR"/>
              </w:rPr>
              <w:t>Asistente de Administración 2</w:t>
            </w:r>
          </w:p>
        </w:tc>
        <w:tc>
          <w:tcPr>
            <w:tcW w:w="567" w:type="dxa"/>
            <w:tcBorders>
              <w:top w:val="nil"/>
              <w:left w:val="nil"/>
              <w:bottom w:val="single" w:sz="4" w:space="0" w:color="auto"/>
              <w:right w:val="single" w:sz="4" w:space="0" w:color="auto"/>
            </w:tcBorders>
            <w:shd w:val="clear" w:color="auto" w:fill="auto"/>
            <w:vAlign w:val="center"/>
            <w:hideMark/>
          </w:tcPr>
          <w:p w:rsidR="00932C33" w:rsidRPr="00932C33" w:rsidRDefault="00932C33" w:rsidP="00932C33">
            <w:pPr>
              <w:jc w:val="center"/>
              <w:rPr>
                <w:rFonts w:ascii="Calibri" w:hAnsi="Calibri"/>
                <w:color w:val="000000"/>
                <w:sz w:val="18"/>
                <w:szCs w:val="18"/>
                <w:lang w:val="es-CR" w:eastAsia="es-CR"/>
              </w:rPr>
            </w:pPr>
            <w:r w:rsidRPr="00932C33">
              <w:rPr>
                <w:rFonts w:ascii="Calibri" w:hAnsi="Calibri"/>
                <w:color w:val="000000"/>
                <w:sz w:val="18"/>
                <w:szCs w:val="18"/>
                <w:lang w:val="es-CR" w:eastAsia="es-CR"/>
              </w:rPr>
              <w:t>10</w:t>
            </w:r>
          </w:p>
        </w:tc>
        <w:tc>
          <w:tcPr>
            <w:tcW w:w="567" w:type="dxa"/>
            <w:tcBorders>
              <w:top w:val="nil"/>
              <w:left w:val="nil"/>
              <w:bottom w:val="single" w:sz="4" w:space="0" w:color="auto"/>
              <w:right w:val="single" w:sz="4" w:space="0" w:color="auto"/>
            </w:tcBorders>
            <w:shd w:val="clear" w:color="auto" w:fill="auto"/>
            <w:vAlign w:val="center"/>
            <w:hideMark/>
          </w:tcPr>
          <w:p w:rsidR="00932C33" w:rsidRPr="00932C33" w:rsidRDefault="00932C33" w:rsidP="00932C33">
            <w:pPr>
              <w:jc w:val="center"/>
              <w:rPr>
                <w:rFonts w:ascii="Calibri" w:hAnsi="Calibri"/>
                <w:color w:val="000000"/>
                <w:sz w:val="18"/>
                <w:szCs w:val="18"/>
                <w:lang w:val="es-CR" w:eastAsia="es-CR"/>
              </w:rPr>
            </w:pPr>
            <w:r w:rsidRPr="00932C33">
              <w:rPr>
                <w:rFonts w:ascii="Calibri" w:hAnsi="Calibri"/>
                <w:color w:val="000000"/>
                <w:sz w:val="18"/>
                <w:szCs w:val="18"/>
                <w:lang w:val="es-CR" w:eastAsia="es-CR"/>
              </w:rPr>
              <w:t>50%</w:t>
            </w:r>
          </w:p>
        </w:tc>
        <w:tc>
          <w:tcPr>
            <w:tcW w:w="567" w:type="dxa"/>
            <w:tcBorders>
              <w:top w:val="nil"/>
              <w:left w:val="nil"/>
              <w:bottom w:val="single" w:sz="4" w:space="0" w:color="auto"/>
              <w:right w:val="single" w:sz="4" w:space="0" w:color="auto"/>
            </w:tcBorders>
            <w:shd w:val="clear" w:color="auto" w:fill="auto"/>
            <w:vAlign w:val="center"/>
            <w:hideMark/>
          </w:tcPr>
          <w:p w:rsidR="00932C33" w:rsidRPr="00932C33" w:rsidRDefault="00932C33" w:rsidP="00932C33">
            <w:pPr>
              <w:jc w:val="center"/>
              <w:rPr>
                <w:rFonts w:ascii="Calibri" w:hAnsi="Calibri"/>
                <w:color w:val="000000"/>
                <w:sz w:val="18"/>
                <w:szCs w:val="18"/>
                <w:lang w:val="es-CR" w:eastAsia="es-CR"/>
              </w:rPr>
            </w:pPr>
            <w:r w:rsidRPr="00932C33">
              <w:rPr>
                <w:rFonts w:ascii="Calibri" w:hAnsi="Calibri"/>
                <w:color w:val="000000"/>
                <w:sz w:val="18"/>
                <w:szCs w:val="18"/>
                <w:lang w:val="es-CR" w:eastAsia="es-CR"/>
              </w:rPr>
              <w:t>12</w:t>
            </w:r>
          </w:p>
        </w:tc>
        <w:tc>
          <w:tcPr>
            <w:tcW w:w="567" w:type="dxa"/>
            <w:tcBorders>
              <w:top w:val="nil"/>
              <w:left w:val="nil"/>
              <w:bottom w:val="single" w:sz="4" w:space="0" w:color="auto"/>
              <w:right w:val="single" w:sz="4" w:space="0" w:color="auto"/>
            </w:tcBorders>
            <w:shd w:val="clear" w:color="auto" w:fill="auto"/>
            <w:noWrap/>
            <w:vAlign w:val="center"/>
            <w:hideMark/>
          </w:tcPr>
          <w:p w:rsidR="00932C33" w:rsidRPr="00932C33" w:rsidRDefault="00932C33" w:rsidP="00932C33">
            <w:pPr>
              <w:jc w:val="center"/>
              <w:rPr>
                <w:rFonts w:ascii="Calibri" w:hAnsi="Calibri"/>
                <w:color w:val="000000"/>
                <w:sz w:val="18"/>
                <w:szCs w:val="18"/>
                <w:lang w:val="es-CR" w:eastAsia="es-CR"/>
              </w:rPr>
            </w:pPr>
            <w:r w:rsidRPr="00932C33">
              <w:rPr>
                <w:rFonts w:ascii="Calibri" w:hAnsi="Calibri"/>
                <w:color w:val="000000"/>
                <w:sz w:val="18"/>
                <w:szCs w:val="18"/>
                <w:lang w:val="es-CR" w:eastAsia="es-CR"/>
              </w:rPr>
              <w:t>0,50</w:t>
            </w:r>
          </w:p>
        </w:tc>
        <w:tc>
          <w:tcPr>
            <w:tcW w:w="1134" w:type="dxa"/>
            <w:tcBorders>
              <w:top w:val="nil"/>
              <w:left w:val="nil"/>
              <w:bottom w:val="single" w:sz="4" w:space="0" w:color="auto"/>
              <w:right w:val="single" w:sz="4" w:space="0" w:color="auto"/>
            </w:tcBorders>
            <w:shd w:val="clear" w:color="auto" w:fill="auto"/>
            <w:vAlign w:val="center"/>
            <w:hideMark/>
          </w:tcPr>
          <w:p w:rsidR="00932C33" w:rsidRPr="00932C33" w:rsidRDefault="00932C33" w:rsidP="00932C33">
            <w:pPr>
              <w:jc w:val="center"/>
              <w:rPr>
                <w:rFonts w:ascii="Calibri" w:hAnsi="Calibri"/>
                <w:color w:val="000000"/>
                <w:sz w:val="18"/>
                <w:szCs w:val="18"/>
                <w:lang w:val="es-CR" w:eastAsia="es-CR"/>
              </w:rPr>
            </w:pPr>
            <w:r w:rsidRPr="00932C33">
              <w:rPr>
                <w:rFonts w:ascii="Calibri" w:hAnsi="Calibri"/>
                <w:color w:val="000000"/>
                <w:sz w:val="18"/>
                <w:szCs w:val="18"/>
                <w:lang w:val="es-CR" w:eastAsia="es-CR"/>
              </w:rPr>
              <w:t>Permanente</w:t>
            </w:r>
          </w:p>
        </w:tc>
        <w:tc>
          <w:tcPr>
            <w:tcW w:w="1418" w:type="dxa"/>
            <w:tcBorders>
              <w:top w:val="nil"/>
              <w:left w:val="nil"/>
              <w:bottom w:val="single" w:sz="4" w:space="0" w:color="auto"/>
              <w:right w:val="single" w:sz="4" w:space="0" w:color="auto"/>
            </w:tcBorders>
            <w:shd w:val="clear" w:color="auto" w:fill="auto"/>
            <w:vAlign w:val="center"/>
            <w:hideMark/>
          </w:tcPr>
          <w:p w:rsidR="00932C33" w:rsidRPr="00932C33" w:rsidRDefault="00932C33" w:rsidP="00932C33">
            <w:pPr>
              <w:rPr>
                <w:rFonts w:ascii="Calibri" w:hAnsi="Calibri"/>
                <w:color w:val="000000"/>
                <w:sz w:val="18"/>
                <w:szCs w:val="18"/>
                <w:lang w:val="es-CR" w:eastAsia="es-CR"/>
              </w:rPr>
            </w:pPr>
            <w:r w:rsidRPr="00932C33">
              <w:rPr>
                <w:rFonts w:ascii="Calibri" w:hAnsi="Calibri"/>
                <w:color w:val="000000"/>
                <w:sz w:val="18"/>
                <w:szCs w:val="18"/>
                <w:lang w:val="es-CR" w:eastAsia="es-CR"/>
              </w:rPr>
              <w:t>Dirección Vicerrectoría de Investigación y Extensión</w:t>
            </w:r>
          </w:p>
        </w:tc>
        <w:tc>
          <w:tcPr>
            <w:tcW w:w="1984" w:type="dxa"/>
            <w:tcBorders>
              <w:top w:val="nil"/>
              <w:left w:val="nil"/>
              <w:bottom w:val="single" w:sz="4" w:space="0" w:color="auto"/>
              <w:right w:val="single" w:sz="4" w:space="0" w:color="auto"/>
            </w:tcBorders>
            <w:shd w:val="clear" w:color="auto" w:fill="auto"/>
            <w:vAlign w:val="center"/>
            <w:hideMark/>
          </w:tcPr>
          <w:p w:rsidR="00932C33" w:rsidRPr="00932C33" w:rsidRDefault="00932C33" w:rsidP="00932C33">
            <w:pPr>
              <w:rPr>
                <w:rFonts w:ascii="Calibri" w:hAnsi="Calibri"/>
                <w:color w:val="000000"/>
                <w:sz w:val="16"/>
                <w:szCs w:val="16"/>
                <w:lang w:val="es-CR" w:eastAsia="es-CR"/>
              </w:rPr>
            </w:pPr>
            <w:r w:rsidRPr="00932C33">
              <w:rPr>
                <w:rFonts w:ascii="Calibri" w:hAnsi="Calibri"/>
                <w:color w:val="000000"/>
                <w:sz w:val="16"/>
                <w:szCs w:val="16"/>
                <w:lang w:val="es-CR" w:eastAsia="es-CR"/>
              </w:rPr>
              <w:t>Reserva 3% FEES para Investigación (Centro de Investigación en Materiales)</w:t>
            </w:r>
          </w:p>
        </w:tc>
      </w:tr>
    </w:tbl>
    <w:p w:rsidR="00932C33" w:rsidRPr="00932C33" w:rsidRDefault="00932C33" w:rsidP="00932C33">
      <w:pPr>
        <w:contextualSpacing/>
        <w:jc w:val="both"/>
        <w:rPr>
          <w:rFonts w:ascii="Arial" w:eastAsia="Calibri" w:hAnsi="Arial" w:cs="Arial"/>
          <w:lang w:eastAsia="en-US"/>
        </w:rPr>
      </w:pPr>
    </w:p>
    <w:p w:rsidR="00932C33" w:rsidRPr="00932C33" w:rsidRDefault="00932C33" w:rsidP="00932C33">
      <w:pPr>
        <w:numPr>
          <w:ilvl w:val="0"/>
          <w:numId w:val="46"/>
        </w:numPr>
        <w:ind w:left="426" w:hanging="426"/>
        <w:contextualSpacing/>
        <w:jc w:val="both"/>
        <w:rPr>
          <w:rFonts w:ascii="Arial" w:hAnsi="Arial" w:cs="Arial"/>
          <w:lang w:val="es-CR"/>
        </w:rPr>
      </w:pPr>
      <w:r w:rsidRPr="00932C33">
        <w:rPr>
          <w:rFonts w:ascii="Arial" w:hAnsi="Arial" w:cs="Arial"/>
          <w:lang w:val="es-CR"/>
        </w:rPr>
        <w:t xml:space="preserve">La Secretaría del Consejo Institucional recibió el oficio CIM-270-2016, con fecha de recibido 11 de noviembre de 2016, suscrito por la Ing. Galina Pridybailo </w:t>
      </w:r>
      <w:proofErr w:type="spellStart"/>
      <w:r w:rsidRPr="00932C33">
        <w:rPr>
          <w:rFonts w:ascii="Arial" w:hAnsi="Arial" w:cs="Arial"/>
          <w:lang w:val="es-CR"/>
        </w:rPr>
        <w:t>Chekán</w:t>
      </w:r>
      <w:proofErr w:type="spellEnd"/>
      <w:r w:rsidRPr="00932C33">
        <w:rPr>
          <w:rFonts w:ascii="Arial" w:hAnsi="Arial" w:cs="Arial"/>
          <w:lang w:val="es-CR"/>
        </w:rPr>
        <w:t>, Directora Escuela Ciencia e Ing. de los Materiales, dirigido al Dr. Bernal Martínez, Coordinador de la Comisión de Planificación y Administración, en el cual solicita que la Comisión permita realizar el nombramiento en propiedad, con jornada de 50% de la  plaza código CF-2</w:t>
      </w:r>
      <w:r w:rsidRPr="00932C33">
        <w:rPr>
          <w:rFonts w:ascii="Arial" w:eastAsia="Calibri" w:hAnsi="Arial" w:cs="Arial"/>
          <w:lang w:val="es-CR" w:eastAsia="en-US"/>
        </w:rPr>
        <w:t>950, para finales del año 2017, con el fin de contar con personal requerido.</w:t>
      </w:r>
    </w:p>
    <w:p w:rsidR="00932C33" w:rsidRPr="00932C33" w:rsidRDefault="00932C33" w:rsidP="00932C33">
      <w:pPr>
        <w:contextualSpacing/>
        <w:jc w:val="both"/>
        <w:rPr>
          <w:rFonts w:ascii="Arial" w:eastAsia="Calibri" w:hAnsi="Arial" w:cs="Arial"/>
          <w:sz w:val="16"/>
          <w:szCs w:val="16"/>
          <w:lang w:val="es-CR" w:eastAsia="en-US"/>
        </w:rPr>
      </w:pPr>
    </w:p>
    <w:p w:rsidR="00932C33" w:rsidRPr="00932C33" w:rsidRDefault="00932C33" w:rsidP="00932C33">
      <w:pPr>
        <w:numPr>
          <w:ilvl w:val="0"/>
          <w:numId w:val="46"/>
        </w:numPr>
        <w:ind w:left="426" w:hanging="426"/>
        <w:contextualSpacing/>
        <w:jc w:val="both"/>
        <w:rPr>
          <w:rFonts w:ascii="Arial" w:eastAsia="Calibri" w:hAnsi="Arial" w:cs="Arial"/>
          <w:lang w:val="es-CR" w:eastAsia="en-US"/>
        </w:rPr>
      </w:pPr>
      <w:r w:rsidRPr="00932C33">
        <w:rPr>
          <w:rFonts w:ascii="Arial" w:eastAsia="Calibri" w:hAnsi="Arial" w:cs="Arial"/>
          <w:lang w:val="es-CR" w:eastAsia="en-US"/>
        </w:rPr>
        <w:t xml:space="preserve">Mediante oficio SCI-725-2016, la Comisión de Planificación atiende la solicitud de </w:t>
      </w:r>
      <w:r w:rsidRPr="00932C33">
        <w:rPr>
          <w:rFonts w:ascii="Arial" w:hAnsi="Arial" w:cs="Arial"/>
          <w:lang w:val="es-CR"/>
        </w:rPr>
        <w:t>la</w:t>
      </w:r>
      <w:r w:rsidRPr="00932C33">
        <w:rPr>
          <w:rFonts w:ascii="Arial" w:eastAsia="Calibri" w:hAnsi="Arial" w:cs="Arial"/>
          <w:lang w:val="es-CR" w:eastAsia="en-US"/>
        </w:rPr>
        <w:t xml:space="preserve"> Escuela de Ciencia e Ing. de los Materiales y dispone realizar el cambio de la plaza CF-2950 a condición temporal para el año 2017, y posteriormente valorarla de forma permanente, a partir del año 2018.</w:t>
      </w:r>
    </w:p>
    <w:p w:rsidR="00932C33" w:rsidRPr="00932C33" w:rsidRDefault="00932C33" w:rsidP="00932C33">
      <w:pPr>
        <w:contextualSpacing/>
        <w:jc w:val="both"/>
        <w:rPr>
          <w:rFonts w:ascii="Arial" w:eastAsia="Calibri" w:hAnsi="Arial" w:cs="Arial"/>
          <w:sz w:val="16"/>
          <w:szCs w:val="16"/>
          <w:lang w:val="es-CR" w:eastAsia="en-US"/>
        </w:rPr>
      </w:pPr>
    </w:p>
    <w:p w:rsidR="00932C33" w:rsidRPr="00932C33" w:rsidRDefault="00932C33" w:rsidP="00932C33">
      <w:pPr>
        <w:numPr>
          <w:ilvl w:val="0"/>
          <w:numId w:val="46"/>
        </w:numPr>
        <w:ind w:left="426" w:hanging="426"/>
        <w:contextualSpacing/>
        <w:jc w:val="both"/>
        <w:rPr>
          <w:rFonts w:ascii="Arial" w:eastAsia="Calibri" w:hAnsi="Arial" w:cs="Arial"/>
          <w:lang w:val="es-CR" w:eastAsia="en-US"/>
        </w:rPr>
      </w:pPr>
      <w:r w:rsidRPr="00932C33">
        <w:rPr>
          <w:rFonts w:ascii="Arial" w:eastAsia="Calibri" w:hAnsi="Arial" w:cs="Arial"/>
          <w:lang w:val="es-CR" w:eastAsia="en-US"/>
        </w:rPr>
        <w:t>El Consejo Institucional aprobó en la Sesión Ordinaria No. 3000, Artículo 8, del 30 de noviembre de 2016, el acuerdo “Modificación de acuerdo de la Sesión Ordinaria No. 2989, Artículo 7, del 14 de setiembre de 2016. Renovación y reconversión de plazas 2017-Fondos FEES, y modifica la plaza CF-2950, de la siguiente forma:</w:t>
      </w:r>
    </w:p>
    <w:p w:rsidR="00932C33" w:rsidRPr="00932C33" w:rsidRDefault="00932C33" w:rsidP="00932C33">
      <w:pPr>
        <w:ind w:left="708"/>
        <w:contextualSpacing/>
        <w:jc w:val="both"/>
        <w:rPr>
          <w:rFonts w:ascii="Arial" w:eastAsia="Calibri" w:hAnsi="Arial" w:cs="Arial"/>
          <w:sz w:val="16"/>
          <w:szCs w:val="16"/>
          <w:lang w:val="es-CR" w:eastAsia="en-US"/>
        </w:rPr>
      </w:pPr>
    </w:p>
    <w:tbl>
      <w:tblPr>
        <w:tblW w:w="10914" w:type="dxa"/>
        <w:jc w:val="center"/>
        <w:tblCellMar>
          <w:left w:w="70" w:type="dxa"/>
          <w:right w:w="70" w:type="dxa"/>
        </w:tblCellMar>
        <w:tblLook w:val="04A0" w:firstRow="1" w:lastRow="0" w:firstColumn="1" w:lastColumn="0" w:noHBand="0" w:noVBand="1"/>
      </w:tblPr>
      <w:tblGrid>
        <w:gridCol w:w="414"/>
        <w:gridCol w:w="475"/>
        <w:gridCol w:w="730"/>
        <w:gridCol w:w="709"/>
        <w:gridCol w:w="1751"/>
        <w:gridCol w:w="418"/>
        <w:gridCol w:w="543"/>
        <w:gridCol w:w="548"/>
        <w:gridCol w:w="459"/>
        <w:gridCol w:w="1289"/>
        <w:gridCol w:w="1487"/>
        <w:gridCol w:w="2091"/>
      </w:tblGrid>
      <w:tr w:rsidR="00932C33" w:rsidRPr="00932C33" w:rsidTr="00291012">
        <w:trPr>
          <w:trHeight w:val="756"/>
          <w:jc w:val="center"/>
        </w:trPr>
        <w:tc>
          <w:tcPr>
            <w:tcW w:w="414" w:type="dxa"/>
            <w:tcBorders>
              <w:top w:val="single" w:sz="4" w:space="0" w:color="auto"/>
              <w:left w:val="single" w:sz="4" w:space="0" w:color="auto"/>
              <w:bottom w:val="single" w:sz="4" w:space="0" w:color="auto"/>
              <w:right w:val="single" w:sz="4" w:space="0" w:color="auto"/>
            </w:tcBorders>
            <w:shd w:val="clear" w:color="auto" w:fill="2E74B5"/>
            <w:vAlign w:val="center"/>
            <w:hideMark/>
          </w:tcPr>
          <w:p w:rsidR="00932C33" w:rsidRPr="00932C33" w:rsidRDefault="00932C33" w:rsidP="00932C33">
            <w:pPr>
              <w:jc w:val="center"/>
              <w:rPr>
                <w:rFonts w:ascii="Calibri" w:hAnsi="Calibri"/>
                <w:b/>
                <w:bCs/>
                <w:color w:val="FFFFFF"/>
                <w:sz w:val="18"/>
                <w:szCs w:val="18"/>
                <w:lang w:val="es-CR" w:eastAsia="es-CR"/>
              </w:rPr>
            </w:pPr>
            <w:r w:rsidRPr="00932C33">
              <w:rPr>
                <w:rFonts w:ascii="Calibri" w:hAnsi="Calibri"/>
                <w:b/>
                <w:bCs/>
                <w:color w:val="FFFFFF"/>
                <w:sz w:val="18"/>
                <w:szCs w:val="18"/>
                <w:lang w:val="es-CR" w:eastAsia="es-CR"/>
              </w:rPr>
              <w:t>#</w:t>
            </w:r>
          </w:p>
        </w:tc>
        <w:tc>
          <w:tcPr>
            <w:tcW w:w="475" w:type="dxa"/>
            <w:tcBorders>
              <w:top w:val="single" w:sz="4" w:space="0" w:color="auto"/>
              <w:left w:val="nil"/>
              <w:bottom w:val="single" w:sz="4" w:space="0" w:color="auto"/>
              <w:right w:val="single" w:sz="4" w:space="0" w:color="auto"/>
            </w:tcBorders>
            <w:shd w:val="clear" w:color="auto" w:fill="2E74B5"/>
            <w:textDirection w:val="btLr"/>
            <w:vAlign w:val="center"/>
            <w:hideMark/>
          </w:tcPr>
          <w:p w:rsidR="00932C33" w:rsidRPr="00932C33" w:rsidRDefault="00932C33" w:rsidP="00932C33">
            <w:pPr>
              <w:jc w:val="center"/>
              <w:rPr>
                <w:rFonts w:ascii="Calibri" w:hAnsi="Calibri"/>
                <w:b/>
                <w:bCs/>
                <w:color w:val="FFFFFF"/>
                <w:sz w:val="18"/>
                <w:szCs w:val="18"/>
                <w:lang w:val="es-CR" w:eastAsia="es-CR"/>
              </w:rPr>
            </w:pPr>
            <w:r w:rsidRPr="00932C33">
              <w:rPr>
                <w:rFonts w:ascii="Calibri" w:hAnsi="Calibri"/>
                <w:b/>
                <w:bCs/>
                <w:color w:val="FFFFFF"/>
                <w:sz w:val="18"/>
                <w:szCs w:val="18"/>
                <w:lang w:val="es-CR" w:eastAsia="es-CR"/>
              </w:rPr>
              <w:t>Programa</w:t>
            </w:r>
          </w:p>
        </w:tc>
        <w:tc>
          <w:tcPr>
            <w:tcW w:w="730" w:type="dxa"/>
            <w:tcBorders>
              <w:top w:val="single" w:sz="4" w:space="0" w:color="auto"/>
              <w:left w:val="nil"/>
              <w:bottom w:val="single" w:sz="4" w:space="0" w:color="auto"/>
              <w:right w:val="single" w:sz="4" w:space="0" w:color="auto"/>
            </w:tcBorders>
            <w:shd w:val="clear" w:color="auto" w:fill="2E74B5"/>
            <w:vAlign w:val="center"/>
            <w:hideMark/>
          </w:tcPr>
          <w:p w:rsidR="00932C33" w:rsidRPr="00932C33" w:rsidRDefault="00932C33" w:rsidP="00932C33">
            <w:pPr>
              <w:jc w:val="center"/>
              <w:rPr>
                <w:rFonts w:ascii="Calibri" w:hAnsi="Calibri"/>
                <w:b/>
                <w:bCs/>
                <w:color w:val="FFFFFF"/>
                <w:sz w:val="18"/>
                <w:szCs w:val="18"/>
                <w:lang w:val="es-CR" w:eastAsia="es-CR"/>
              </w:rPr>
            </w:pPr>
            <w:r w:rsidRPr="00932C33">
              <w:rPr>
                <w:rFonts w:ascii="Calibri" w:hAnsi="Calibri"/>
                <w:b/>
                <w:bCs/>
                <w:color w:val="FFFFFF"/>
                <w:sz w:val="18"/>
                <w:szCs w:val="18"/>
                <w:lang w:val="es-CR" w:eastAsia="es-CR"/>
              </w:rPr>
              <w:t>Actual</w:t>
            </w:r>
            <w:r w:rsidRPr="00932C33">
              <w:rPr>
                <w:rFonts w:ascii="Calibri" w:hAnsi="Calibri"/>
                <w:b/>
                <w:bCs/>
                <w:color w:val="FFFFFF"/>
                <w:sz w:val="18"/>
                <w:szCs w:val="18"/>
                <w:lang w:val="es-CR" w:eastAsia="es-CR"/>
              </w:rPr>
              <w:br/>
              <w:t xml:space="preserve">Cód. plaza </w:t>
            </w:r>
          </w:p>
        </w:tc>
        <w:tc>
          <w:tcPr>
            <w:tcW w:w="709" w:type="dxa"/>
            <w:tcBorders>
              <w:top w:val="single" w:sz="4" w:space="0" w:color="auto"/>
              <w:left w:val="nil"/>
              <w:bottom w:val="single" w:sz="4" w:space="0" w:color="auto"/>
              <w:right w:val="single" w:sz="4" w:space="0" w:color="auto"/>
            </w:tcBorders>
            <w:shd w:val="clear" w:color="auto" w:fill="2E74B5"/>
            <w:vAlign w:val="center"/>
            <w:hideMark/>
          </w:tcPr>
          <w:p w:rsidR="00932C33" w:rsidRPr="00932C33" w:rsidRDefault="00932C33" w:rsidP="00932C33">
            <w:pPr>
              <w:jc w:val="center"/>
              <w:rPr>
                <w:rFonts w:ascii="Calibri" w:hAnsi="Calibri"/>
                <w:b/>
                <w:bCs/>
                <w:color w:val="FFFFFF"/>
                <w:sz w:val="18"/>
                <w:szCs w:val="18"/>
                <w:lang w:val="es-CR" w:eastAsia="es-CR"/>
              </w:rPr>
            </w:pPr>
            <w:r w:rsidRPr="00932C33">
              <w:rPr>
                <w:rFonts w:ascii="Calibri" w:hAnsi="Calibri"/>
                <w:b/>
                <w:bCs/>
                <w:color w:val="FFFFFF"/>
                <w:sz w:val="18"/>
                <w:szCs w:val="18"/>
                <w:lang w:val="es-CR" w:eastAsia="es-CR"/>
              </w:rPr>
              <w:t>Nuevo</w:t>
            </w:r>
            <w:r w:rsidRPr="00932C33">
              <w:rPr>
                <w:rFonts w:ascii="Calibri" w:hAnsi="Calibri"/>
                <w:b/>
                <w:bCs/>
                <w:color w:val="FFFFFF"/>
                <w:sz w:val="18"/>
                <w:szCs w:val="18"/>
                <w:lang w:val="es-CR" w:eastAsia="es-CR"/>
              </w:rPr>
              <w:br/>
              <w:t xml:space="preserve">Cód. plaza </w:t>
            </w:r>
          </w:p>
        </w:tc>
        <w:tc>
          <w:tcPr>
            <w:tcW w:w="1751" w:type="dxa"/>
            <w:tcBorders>
              <w:top w:val="single" w:sz="4" w:space="0" w:color="auto"/>
              <w:left w:val="nil"/>
              <w:bottom w:val="single" w:sz="4" w:space="0" w:color="auto"/>
              <w:right w:val="single" w:sz="4" w:space="0" w:color="auto"/>
            </w:tcBorders>
            <w:shd w:val="clear" w:color="auto" w:fill="2E74B5"/>
            <w:vAlign w:val="center"/>
            <w:hideMark/>
          </w:tcPr>
          <w:p w:rsidR="00932C33" w:rsidRPr="00932C33" w:rsidRDefault="00932C33" w:rsidP="00932C33">
            <w:pPr>
              <w:jc w:val="center"/>
              <w:rPr>
                <w:rFonts w:ascii="Calibri" w:hAnsi="Calibri"/>
                <w:b/>
                <w:bCs/>
                <w:color w:val="FFFFFF"/>
                <w:sz w:val="18"/>
                <w:szCs w:val="18"/>
                <w:lang w:val="es-CR" w:eastAsia="es-CR"/>
              </w:rPr>
            </w:pPr>
            <w:r w:rsidRPr="00932C33">
              <w:rPr>
                <w:rFonts w:ascii="Calibri" w:hAnsi="Calibri"/>
                <w:b/>
                <w:bCs/>
                <w:color w:val="FFFFFF"/>
                <w:sz w:val="18"/>
                <w:szCs w:val="18"/>
                <w:lang w:val="es-CR" w:eastAsia="es-CR"/>
              </w:rPr>
              <w:t>Puesto</w:t>
            </w:r>
          </w:p>
        </w:tc>
        <w:tc>
          <w:tcPr>
            <w:tcW w:w="418" w:type="dxa"/>
            <w:tcBorders>
              <w:top w:val="single" w:sz="4" w:space="0" w:color="auto"/>
              <w:left w:val="nil"/>
              <w:bottom w:val="single" w:sz="4" w:space="0" w:color="auto"/>
              <w:right w:val="single" w:sz="4" w:space="0" w:color="auto"/>
            </w:tcBorders>
            <w:shd w:val="clear" w:color="auto" w:fill="2E74B5"/>
            <w:textDirection w:val="btLr"/>
            <w:vAlign w:val="center"/>
            <w:hideMark/>
          </w:tcPr>
          <w:p w:rsidR="00932C33" w:rsidRPr="00932C33" w:rsidRDefault="00932C33" w:rsidP="00932C33">
            <w:pPr>
              <w:jc w:val="center"/>
              <w:rPr>
                <w:rFonts w:ascii="Calibri" w:hAnsi="Calibri"/>
                <w:b/>
                <w:bCs/>
                <w:color w:val="FFFFFF"/>
                <w:sz w:val="18"/>
                <w:szCs w:val="18"/>
                <w:lang w:val="es-CR" w:eastAsia="es-CR"/>
              </w:rPr>
            </w:pPr>
            <w:r w:rsidRPr="00932C33">
              <w:rPr>
                <w:rFonts w:ascii="Calibri" w:hAnsi="Calibri"/>
                <w:b/>
                <w:bCs/>
                <w:color w:val="FFFFFF"/>
                <w:sz w:val="18"/>
                <w:szCs w:val="18"/>
                <w:lang w:val="es-CR" w:eastAsia="es-CR"/>
              </w:rPr>
              <w:t>Categoría</w:t>
            </w:r>
          </w:p>
        </w:tc>
        <w:tc>
          <w:tcPr>
            <w:tcW w:w="543" w:type="dxa"/>
            <w:tcBorders>
              <w:top w:val="single" w:sz="4" w:space="0" w:color="auto"/>
              <w:left w:val="nil"/>
              <w:bottom w:val="single" w:sz="4" w:space="0" w:color="auto"/>
              <w:right w:val="single" w:sz="4" w:space="0" w:color="auto"/>
            </w:tcBorders>
            <w:shd w:val="clear" w:color="auto" w:fill="2E74B5"/>
            <w:textDirection w:val="btLr"/>
            <w:vAlign w:val="center"/>
            <w:hideMark/>
          </w:tcPr>
          <w:p w:rsidR="00932C33" w:rsidRPr="00932C33" w:rsidRDefault="00932C33" w:rsidP="00932C33">
            <w:pPr>
              <w:jc w:val="center"/>
              <w:rPr>
                <w:rFonts w:ascii="Calibri" w:hAnsi="Calibri"/>
                <w:b/>
                <w:bCs/>
                <w:color w:val="FFFFFF"/>
                <w:sz w:val="18"/>
                <w:szCs w:val="18"/>
                <w:lang w:val="es-CR" w:eastAsia="es-CR"/>
              </w:rPr>
            </w:pPr>
            <w:r w:rsidRPr="00932C33">
              <w:rPr>
                <w:rFonts w:ascii="Calibri" w:hAnsi="Calibri"/>
                <w:b/>
                <w:bCs/>
                <w:color w:val="FFFFFF"/>
                <w:sz w:val="18"/>
                <w:szCs w:val="18"/>
                <w:lang w:val="es-CR" w:eastAsia="es-CR"/>
              </w:rPr>
              <w:t>Jornada</w:t>
            </w:r>
          </w:p>
        </w:tc>
        <w:tc>
          <w:tcPr>
            <w:tcW w:w="548" w:type="dxa"/>
            <w:tcBorders>
              <w:top w:val="single" w:sz="4" w:space="0" w:color="auto"/>
              <w:left w:val="nil"/>
              <w:bottom w:val="single" w:sz="4" w:space="0" w:color="auto"/>
              <w:right w:val="single" w:sz="4" w:space="0" w:color="auto"/>
            </w:tcBorders>
            <w:shd w:val="clear" w:color="auto" w:fill="2E74B5"/>
            <w:textDirection w:val="btLr"/>
            <w:vAlign w:val="center"/>
            <w:hideMark/>
          </w:tcPr>
          <w:p w:rsidR="00932C33" w:rsidRPr="00932C33" w:rsidRDefault="00932C33" w:rsidP="00932C33">
            <w:pPr>
              <w:jc w:val="center"/>
              <w:rPr>
                <w:rFonts w:ascii="Calibri" w:hAnsi="Calibri"/>
                <w:b/>
                <w:bCs/>
                <w:color w:val="FFFFFF"/>
                <w:sz w:val="18"/>
                <w:szCs w:val="18"/>
                <w:lang w:val="es-CR" w:eastAsia="es-CR"/>
              </w:rPr>
            </w:pPr>
            <w:r w:rsidRPr="00932C33">
              <w:rPr>
                <w:rFonts w:ascii="Calibri" w:hAnsi="Calibri"/>
                <w:b/>
                <w:bCs/>
                <w:color w:val="FFFFFF"/>
                <w:sz w:val="18"/>
                <w:szCs w:val="18"/>
                <w:lang w:val="es-CR" w:eastAsia="es-CR"/>
              </w:rPr>
              <w:t>Periodo (meses)</w:t>
            </w:r>
          </w:p>
        </w:tc>
        <w:tc>
          <w:tcPr>
            <w:tcW w:w="459" w:type="dxa"/>
            <w:tcBorders>
              <w:top w:val="single" w:sz="4" w:space="0" w:color="auto"/>
              <w:left w:val="nil"/>
              <w:bottom w:val="single" w:sz="4" w:space="0" w:color="auto"/>
              <w:right w:val="single" w:sz="4" w:space="0" w:color="auto"/>
            </w:tcBorders>
            <w:shd w:val="clear" w:color="auto" w:fill="2E74B5"/>
            <w:vAlign w:val="center"/>
            <w:hideMark/>
          </w:tcPr>
          <w:p w:rsidR="00932C33" w:rsidRPr="00932C33" w:rsidRDefault="00932C33" w:rsidP="00932C33">
            <w:pPr>
              <w:jc w:val="center"/>
              <w:rPr>
                <w:rFonts w:ascii="Calibri" w:hAnsi="Calibri"/>
                <w:b/>
                <w:bCs/>
                <w:color w:val="FFFFFF"/>
                <w:sz w:val="18"/>
                <w:szCs w:val="18"/>
                <w:lang w:val="es-CR" w:eastAsia="es-CR"/>
              </w:rPr>
            </w:pPr>
            <w:r w:rsidRPr="00932C33">
              <w:rPr>
                <w:rFonts w:ascii="Calibri" w:hAnsi="Calibri"/>
                <w:b/>
                <w:bCs/>
                <w:color w:val="FFFFFF"/>
                <w:sz w:val="18"/>
                <w:szCs w:val="18"/>
                <w:lang w:val="es-CR" w:eastAsia="es-CR"/>
              </w:rPr>
              <w:t>TCE</w:t>
            </w:r>
          </w:p>
        </w:tc>
        <w:tc>
          <w:tcPr>
            <w:tcW w:w="1289" w:type="dxa"/>
            <w:tcBorders>
              <w:top w:val="single" w:sz="4" w:space="0" w:color="auto"/>
              <w:left w:val="nil"/>
              <w:bottom w:val="single" w:sz="4" w:space="0" w:color="auto"/>
              <w:right w:val="single" w:sz="4" w:space="0" w:color="auto"/>
            </w:tcBorders>
            <w:shd w:val="clear" w:color="auto" w:fill="2E74B5"/>
            <w:vAlign w:val="center"/>
            <w:hideMark/>
          </w:tcPr>
          <w:p w:rsidR="00932C33" w:rsidRPr="00932C33" w:rsidRDefault="00932C33" w:rsidP="00932C33">
            <w:pPr>
              <w:jc w:val="center"/>
              <w:rPr>
                <w:rFonts w:ascii="Calibri" w:hAnsi="Calibri"/>
                <w:b/>
                <w:bCs/>
                <w:color w:val="FFFFFF"/>
                <w:sz w:val="18"/>
                <w:szCs w:val="18"/>
                <w:lang w:val="es-CR" w:eastAsia="es-CR"/>
              </w:rPr>
            </w:pPr>
            <w:r w:rsidRPr="00932C33">
              <w:rPr>
                <w:rFonts w:ascii="Calibri" w:hAnsi="Calibri"/>
                <w:b/>
                <w:bCs/>
                <w:color w:val="FFFFFF"/>
                <w:sz w:val="18"/>
                <w:szCs w:val="18"/>
                <w:lang w:val="es-CR" w:eastAsia="es-CR"/>
              </w:rPr>
              <w:t>Nombramiento</w:t>
            </w:r>
          </w:p>
        </w:tc>
        <w:tc>
          <w:tcPr>
            <w:tcW w:w="1487" w:type="dxa"/>
            <w:tcBorders>
              <w:top w:val="single" w:sz="4" w:space="0" w:color="auto"/>
              <w:left w:val="nil"/>
              <w:bottom w:val="single" w:sz="4" w:space="0" w:color="auto"/>
              <w:right w:val="single" w:sz="4" w:space="0" w:color="auto"/>
            </w:tcBorders>
            <w:shd w:val="clear" w:color="auto" w:fill="2E74B5"/>
            <w:vAlign w:val="center"/>
            <w:hideMark/>
          </w:tcPr>
          <w:p w:rsidR="00932C33" w:rsidRPr="00932C33" w:rsidRDefault="00932C33" w:rsidP="00932C33">
            <w:pPr>
              <w:jc w:val="center"/>
              <w:rPr>
                <w:rFonts w:ascii="Calibri" w:hAnsi="Calibri"/>
                <w:b/>
                <w:bCs/>
                <w:color w:val="FFFFFF"/>
                <w:sz w:val="18"/>
                <w:szCs w:val="18"/>
                <w:lang w:val="es-CR" w:eastAsia="es-CR"/>
              </w:rPr>
            </w:pPr>
            <w:r w:rsidRPr="00932C33">
              <w:rPr>
                <w:rFonts w:ascii="Calibri" w:hAnsi="Calibri"/>
                <w:b/>
                <w:bCs/>
                <w:color w:val="FFFFFF"/>
                <w:sz w:val="18"/>
                <w:szCs w:val="18"/>
                <w:lang w:val="es-CR" w:eastAsia="es-CR"/>
              </w:rPr>
              <w:t>Adscrita a:</w:t>
            </w:r>
          </w:p>
        </w:tc>
        <w:tc>
          <w:tcPr>
            <w:tcW w:w="2091" w:type="dxa"/>
            <w:tcBorders>
              <w:top w:val="single" w:sz="4" w:space="0" w:color="auto"/>
              <w:left w:val="nil"/>
              <w:bottom w:val="single" w:sz="4" w:space="0" w:color="auto"/>
              <w:right w:val="single" w:sz="4" w:space="0" w:color="auto"/>
            </w:tcBorders>
            <w:shd w:val="clear" w:color="auto" w:fill="2E74B5"/>
            <w:vAlign w:val="center"/>
            <w:hideMark/>
          </w:tcPr>
          <w:p w:rsidR="00932C33" w:rsidRPr="00932C33" w:rsidRDefault="00932C33" w:rsidP="00932C33">
            <w:pPr>
              <w:jc w:val="center"/>
              <w:rPr>
                <w:rFonts w:ascii="Calibri" w:hAnsi="Calibri"/>
                <w:b/>
                <w:bCs/>
                <w:color w:val="FFFFFF"/>
                <w:sz w:val="18"/>
                <w:szCs w:val="18"/>
                <w:lang w:val="es-CR" w:eastAsia="es-CR"/>
              </w:rPr>
            </w:pPr>
            <w:r w:rsidRPr="00932C33">
              <w:rPr>
                <w:rFonts w:ascii="Calibri" w:hAnsi="Calibri"/>
                <w:b/>
                <w:bCs/>
                <w:color w:val="FFFFFF"/>
                <w:sz w:val="18"/>
                <w:szCs w:val="18"/>
                <w:lang w:val="es-CR" w:eastAsia="es-CR"/>
              </w:rPr>
              <w:t>Observaciones</w:t>
            </w:r>
            <w:r w:rsidRPr="00932C33">
              <w:rPr>
                <w:rFonts w:ascii="Calibri" w:hAnsi="Calibri"/>
                <w:b/>
                <w:bCs/>
                <w:color w:val="FFFFFF"/>
                <w:sz w:val="18"/>
                <w:szCs w:val="18"/>
                <w:lang w:val="es-CR" w:eastAsia="es-CR"/>
              </w:rPr>
              <w:br/>
              <w:t>Renovación y reconversión</w:t>
            </w:r>
          </w:p>
        </w:tc>
      </w:tr>
      <w:tr w:rsidR="00932C33" w:rsidRPr="00932C33" w:rsidTr="00291012">
        <w:trPr>
          <w:trHeight w:val="945"/>
          <w:jc w:val="center"/>
        </w:trPr>
        <w:tc>
          <w:tcPr>
            <w:tcW w:w="4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2C33" w:rsidRPr="00932C33" w:rsidRDefault="00932C33" w:rsidP="00932C33">
            <w:pPr>
              <w:jc w:val="center"/>
              <w:rPr>
                <w:rFonts w:ascii="Calibri" w:hAnsi="Calibri"/>
                <w:b/>
                <w:bCs/>
                <w:sz w:val="18"/>
                <w:szCs w:val="18"/>
                <w:lang w:val="es-CR" w:eastAsia="es-CR"/>
              </w:rPr>
            </w:pPr>
            <w:r w:rsidRPr="00932C33">
              <w:rPr>
                <w:rFonts w:ascii="Calibri" w:hAnsi="Calibri"/>
                <w:b/>
                <w:bCs/>
                <w:sz w:val="18"/>
                <w:szCs w:val="18"/>
                <w:lang w:val="es-CR" w:eastAsia="es-CR"/>
              </w:rPr>
              <w:t>198</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2C33" w:rsidRPr="00932C33" w:rsidRDefault="00932C33" w:rsidP="00932C33">
            <w:pPr>
              <w:jc w:val="center"/>
              <w:rPr>
                <w:rFonts w:ascii="Calibri" w:hAnsi="Calibri"/>
                <w:b/>
                <w:bCs/>
                <w:sz w:val="18"/>
                <w:szCs w:val="18"/>
                <w:lang w:val="es-CR" w:eastAsia="es-CR"/>
              </w:rPr>
            </w:pPr>
            <w:r w:rsidRPr="00932C33">
              <w:rPr>
                <w:rFonts w:ascii="Calibri" w:hAnsi="Calibri"/>
                <w:b/>
                <w:bCs/>
                <w:sz w:val="18"/>
                <w:szCs w:val="18"/>
                <w:lang w:val="es-CR" w:eastAsia="es-CR"/>
              </w:rPr>
              <w:t>4</w:t>
            </w:r>
          </w:p>
        </w:tc>
        <w:tc>
          <w:tcPr>
            <w:tcW w:w="7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C33" w:rsidRPr="00932C33" w:rsidRDefault="00932C33" w:rsidP="00932C33">
            <w:pPr>
              <w:jc w:val="center"/>
              <w:rPr>
                <w:rFonts w:ascii="Calibri" w:hAnsi="Calibri"/>
                <w:color w:val="000000"/>
                <w:sz w:val="18"/>
                <w:szCs w:val="18"/>
                <w:lang w:val="es-CR" w:eastAsia="es-CR"/>
              </w:rPr>
            </w:pPr>
            <w:r w:rsidRPr="00932C33">
              <w:rPr>
                <w:rFonts w:ascii="Calibri" w:hAnsi="Calibri"/>
                <w:color w:val="000000"/>
                <w:sz w:val="18"/>
                <w:szCs w:val="18"/>
                <w:lang w:val="es-CR" w:eastAsia="es-CR"/>
              </w:rPr>
              <w:t>CT0319</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C33" w:rsidRPr="00932C33" w:rsidRDefault="00932C33" w:rsidP="00932C33">
            <w:pPr>
              <w:jc w:val="center"/>
              <w:rPr>
                <w:rFonts w:ascii="Calibri" w:hAnsi="Calibri"/>
                <w:color w:val="000000"/>
                <w:sz w:val="18"/>
                <w:szCs w:val="18"/>
                <w:lang w:val="es-CR" w:eastAsia="es-CR"/>
              </w:rPr>
            </w:pPr>
            <w:r w:rsidRPr="00932C33">
              <w:rPr>
                <w:rFonts w:ascii="Calibri" w:hAnsi="Calibri"/>
                <w:color w:val="000000"/>
                <w:sz w:val="18"/>
                <w:szCs w:val="18"/>
                <w:lang w:val="es-CR" w:eastAsia="es-CR"/>
              </w:rPr>
              <w:t>CT0319</w:t>
            </w: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2C33" w:rsidRPr="00932C33" w:rsidRDefault="00932C33" w:rsidP="00932C33">
            <w:pPr>
              <w:rPr>
                <w:rFonts w:ascii="Calibri" w:hAnsi="Calibri"/>
                <w:color w:val="000000"/>
                <w:sz w:val="18"/>
                <w:szCs w:val="18"/>
                <w:lang w:val="es-CR" w:eastAsia="es-CR"/>
              </w:rPr>
            </w:pPr>
            <w:r w:rsidRPr="00932C33">
              <w:rPr>
                <w:rFonts w:ascii="Calibri" w:hAnsi="Calibri"/>
                <w:color w:val="000000"/>
                <w:sz w:val="18"/>
                <w:szCs w:val="18"/>
                <w:lang w:val="es-CR" w:eastAsia="es-CR"/>
              </w:rPr>
              <w:t>Asistente de Administración 2</w:t>
            </w:r>
          </w:p>
        </w:tc>
        <w:tc>
          <w:tcPr>
            <w:tcW w:w="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2C33" w:rsidRPr="00932C33" w:rsidRDefault="00932C33" w:rsidP="00932C33">
            <w:pPr>
              <w:jc w:val="center"/>
              <w:rPr>
                <w:rFonts w:ascii="Calibri" w:hAnsi="Calibri"/>
                <w:color w:val="000000"/>
                <w:sz w:val="18"/>
                <w:szCs w:val="18"/>
                <w:lang w:val="es-CR" w:eastAsia="es-CR"/>
              </w:rPr>
            </w:pPr>
            <w:r w:rsidRPr="00932C33">
              <w:rPr>
                <w:rFonts w:ascii="Calibri" w:hAnsi="Calibri"/>
                <w:color w:val="000000"/>
                <w:sz w:val="18"/>
                <w:szCs w:val="18"/>
                <w:lang w:val="es-CR" w:eastAsia="es-CR"/>
              </w:rPr>
              <w:t>10</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2C33" w:rsidRPr="00932C33" w:rsidRDefault="00932C33" w:rsidP="00932C33">
            <w:pPr>
              <w:jc w:val="center"/>
              <w:rPr>
                <w:rFonts w:ascii="Calibri" w:hAnsi="Calibri"/>
                <w:color w:val="000000"/>
                <w:sz w:val="18"/>
                <w:szCs w:val="18"/>
                <w:lang w:val="es-CR" w:eastAsia="es-CR"/>
              </w:rPr>
            </w:pPr>
            <w:r w:rsidRPr="00932C33">
              <w:rPr>
                <w:rFonts w:ascii="Calibri" w:hAnsi="Calibri"/>
                <w:color w:val="000000"/>
                <w:sz w:val="18"/>
                <w:szCs w:val="18"/>
                <w:lang w:val="es-CR" w:eastAsia="es-CR"/>
              </w:rPr>
              <w:t>50%</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2C33" w:rsidRPr="00932C33" w:rsidRDefault="00932C33" w:rsidP="00932C33">
            <w:pPr>
              <w:jc w:val="center"/>
              <w:rPr>
                <w:rFonts w:ascii="Calibri" w:hAnsi="Calibri"/>
                <w:color w:val="000000"/>
                <w:sz w:val="18"/>
                <w:szCs w:val="18"/>
                <w:lang w:val="es-CR" w:eastAsia="es-CR"/>
              </w:rPr>
            </w:pPr>
            <w:r w:rsidRPr="00932C33">
              <w:rPr>
                <w:rFonts w:ascii="Calibri" w:hAnsi="Calibri"/>
                <w:color w:val="000000"/>
                <w:sz w:val="18"/>
                <w:szCs w:val="18"/>
                <w:lang w:val="es-CR" w:eastAsia="es-CR"/>
              </w:rPr>
              <w:t>12</w:t>
            </w:r>
          </w:p>
        </w:tc>
        <w:tc>
          <w:tcPr>
            <w:tcW w:w="4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C33" w:rsidRPr="00932C33" w:rsidRDefault="00932C33" w:rsidP="00932C33">
            <w:pPr>
              <w:jc w:val="center"/>
              <w:rPr>
                <w:rFonts w:ascii="Calibri" w:hAnsi="Calibri"/>
                <w:color w:val="000000"/>
                <w:sz w:val="18"/>
                <w:szCs w:val="18"/>
                <w:lang w:val="es-CR" w:eastAsia="es-CR"/>
              </w:rPr>
            </w:pPr>
            <w:r w:rsidRPr="00932C33">
              <w:rPr>
                <w:rFonts w:ascii="Calibri" w:hAnsi="Calibri"/>
                <w:color w:val="000000"/>
                <w:sz w:val="18"/>
                <w:szCs w:val="18"/>
                <w:lang w:val="es-CR" w:eastAsia="es-CR"/>
              </w:rPr>
              <w:t>0,50</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2C33" w:rsidRPr="00932C33" w:rsidRDefault="00932C33" w:rsidP="00932C33">
            <w:pPr>
              <w:jc w:val="center"/>
              <w:rPr>
                <w:rFonts w:ascii="Calibri" w:hAnsi="Calibri"/>
                <w:color w:val="000000"/>
                <w:sz w:val="18"/>
                <w:szCs w:val="18"/>
                <w:lang w:val="es-CR" w:eastAsia="es-CR"/>
              </w:rPr>
            </w:pPr>
            <w:r w:rsidRPr="00932C33">
              <w:rPr>
                <w:rFonts w:ascii="Calibri" w:hAnsi="Calibri"/>
                <w:color w:val="000000"/>
                <w:sz w:val="18"/>
                <w:szCs w:val="18"/>
                <w:lang w:val="es-CR" w:eastAsia="es-CR"/>
              </w:rPr>
              <w:t>Temporal</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2C33" w:rsidRPr="00932C33" w:rsidRDefault="00932C33" w:rsidP="00932C33">
            <w:pPr>
              <w:rPr>
                <w:rFonts w:ascii="Calibri" w:hAnsi="Calibri"/>
                <w:color w:val="000000"/>
                <w:sz w:val="18"/>
                <w:szCs w:val="18"/>
                <w:lang w:val="es-CR" w:eastAsia="es-CR"/>
              </w:rPr>
            </w:pPr>
            <w:r w:rsidRPr="00932C33">
              <w:rPr>
                <w:rFonts w:ascii="Calibri" w:hAnsi="Calibri"/>
                <w:color w:val="000000"/>
                <w:sz w:val="18"/>
                <w:szCs w:val="18"/>
                <w:lang w:val="es-CR" w:eastAsia="es-CR"/>
              </w:rPr>
              <w:t>Dirección Vicerrectoría de Investigación y Extensión</w:t>
            </w:r>
          </w:p>
        </w:tc>
        <w:tc>
          <w:tcPr>
            <w:tcW w:w="2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2C33" w:rsidRPr="00932C33" w:rsidRDefault="00932C33" w:rsidP="00932C33">
            <w:pPr>
              <w:rPr>
                <w:rFonts w:ascii="Calibri" w:hAnsi="Calibri"/>
                <w:color w:val="000000"/>
                <w:sz w:val="18"/>
                <w:szCs w:val="18"/>
                <w:lang w:val="es-CR" w:eastAsia="es-CR"/>
              </w:rPr>
            </w:pPr>
            <w:r w:rsidRPr="00932C33">
              <w:rPr>
                <w:rFonts w:ascii="Calibri" w:hAnsi="Calibri"/>
                <w:color w:val="000000"/>
                <w:sz w:val="18"/>
                <w:szCs w:val="18"/>
                <w:lang w:val="es-CR" w:eastAsia="es-CR"/>
              </w:rPr>
              <w:t>Se reconvierte a temporal, según oficios CIM-270-2016 y SCI-725-2016.</w:t>
            </w:r>
            <w:r w:rsidRPr="00932C33">
              <w:rPr>
                <w:rFonts w:ascii="Calibri" w:hAnsi="Calibri"/>
                <w:color w:val="000000"/>
                <w:sz w:val="18"/>
                <w:szCs w:val="18"/>
                <w:lang w:val="es-CR" w:eastAsia="es-CR"/>
              </w:rPr>
              <w:br/>
              <w:t>Reserva 3% FEES para Investigación (Centro de Investigación en Materiales)</w:t>
            </w:r>
          </w:p>
        </w:tc>
      </w:tr>
    </w:tbl>
    <w:p w:rsidR="00932C33" w:rsidRPr="00932C33" w:rsidRDefault="00932C33" w:rsidP="00932C33">
      <w:pPr>
        <w:contextualSpacing/>
        <w:jc w:val="both"/>
        <w:rPr>
          <w:rFonts w:ascii="Arial" w:eastAsia="Calibri" w:hAnsi="Arial" w:cs="Arial"/>
          <w:lang w:val="es-CR" w:eastAsia="en-US"/>
        </w:rPr>
      </w:pPr>
    </w:p>
    <w:p w:rsidR="00932C33" w:rsidRPr="00932C33" w:rsidRDefault="00932C33" w:rsidP="00932C33">
      <w:pPr>
        <w:rPr>
          <w:rFonts w:ascii="Arial" w:hAnsi="Arial" w:cs="Arial"/>
          <w:b/>
        </w:rPr>
      </w:pPr>
      <w:r w:rsidRPr="00932C33">
        <w:rPr>
          <w:rFonts w:ascii="Arial" w:hAnsi="Arial" w:cs="Arial"/>
          <w:b/>
        </w:rPr>
        <w:t>CONSIDERANDO QUE:</w:t>
      </w:r>
    </w:p>
    <w:p w:rsidR="00932C33" w:rsidRDefault="00932C33" w:rsidP="00932C33">
      <w:pPr>
        <w:contextualSpacing/>
        <w:jc w:val="both"/>
        <w:rPr>
          <w:rFonts w:ascii="Arial" w:eastAsia="Calibri" w:hAnsi="Arial" w:cs="Arial"/>
          <w:sz w:val="16"/>
          <w:szCs w:val="16"/>
          <w:lang w:val="es-CR" w:eastAsia="en-US"/>
        </w:rPr>
      </w:pPr>
    </w:p>
    <w:p w:rsidR="00932C33" w:rsidRPr="00932C33" w:rsidRDefault="00932C33" w:rsidP="00932C33">
      <w:pPr>
        <w:contextualSpacing/>
        <w:jc w:val="both"/>
        <w:rPr>
          <w:rFonts w:ascii="Arial" w:eastAsia="Calibri" w:hAnsi="Arial" w:cs="Arial"/>
          <w:sz w:val="16"/>
          <w:szCs w:val="16"/>
          <w:lang w:val="es-CR" w:eastAsia="en-US"/>
        </w:rPr>
      </w:pPr>
    </w:p>
    <w:p w:rsidR="00932C33" w:rsidRPr="00932C33" w:rsidRDefault="00932C33" w:rsidP="00932C33">
      <w:pPr>
        <w:numPr>
          <w:ilvl w:val="0"/>
          <w:numId w:val="48"/>
        </w:numPr>
        <w:ind w:left="426" w:hanging="426"/>
        <w:contextualSpacing/>
        <w:jc w:val="both"/>
        <w:rPr>
          <w:rFonts w:ascii="Arial" w:hAnsi="Arial" w:cs="Arial"/>
        </w:rPr>
      </w:pPr>
      <w:r w:rsidRPr="00932C33">
        <w:rPr>
          <w:rFonts w:ascii="Arial" w:hAnsi="Arial" w:cs="Arial"/>
        </w:rPr>
        <w:t xml:space="preserve">La Secretaría del Consejo Institucional recibió el oficio CIEMTEC-016-2018, con fecha de recibido 24 de abril de 2018, suscrito por el Ing. José Luis León Salazar, Coordinador del Centro de Investigación y Extensión en Materiales, dirigido a la Ing. Paola Vega Castillo, Vicerrectora de Investigación, con copia a la </w:t>
      </w:r>
      <w:proofErr w:type="spellStart"/>
      <w:r w:rsidRPr="00932C33">
        <w:rPr>
          <w:rFonts w:ascii="Arial" w:hAnsi="Arial" w:cs="Arial"/>
        </w:rPr>
        <w:t>M.Sc</w:t>
      </w:r>
      <w:proofErr w:type="spellEnd"/>
      <w:r w:rsidRPr="00932C33">
        <w:rPr>
          <w:rFonts w:ascii="Arial" w:hAnsi="Arial" w:cs="Arial"/>
        </w:rPr>
        <w:t>. Ana Rosa Ruiz, Coordinadora de la Comisión de Planificación y Administración, en el cual solicita la modificación de la plaza CT0319 (temporal) a CF2950 (permanente), según las siguientes consideraciones:</w:t>
      </w:r>
    </w:p>
    <w:p w:rsidR="00932C33" w:rsidRPr="00932C33" w:rsidRDefault="00932C33" w:rsidP="00932C33">
      <w:pPr>
        <w:contextualSpacing/>
        <w:jc w:val="both"/>
        <w:rPr>
          <w:rFonts w:ascii="Arial" w:eastAsia="Calibri" w:hAnsi="Arial" w:cs="Arial"/>
          <w:sz w:val="16"/>
          <w:szCs w:val="16"/>
          <w:lang w:val="es-CR" w:eastAsia="en-US"/>
        </w:rPr>
      </w:pPr>
    </w:p>
    <w:p w:rsidR="00932C33" w:rsidRPr="00932C33" w:rsidRDefault="00932C33" w:rsidP="00932C33">
      <w:pPr>
        <w:ind w:left="709" w:right="475"/>
        <w:jc w:val="both"/>
        <w:rPr>
          <w:rFonts w:ascii="Arial" w:hAnsi="Arial" w:cs="Arial"/>
          <w:i/>
          <w:sz w:val="22"/>
          <w:szCs w:val="22"/>
        </w:rPr>
      </w:pPr>
      <w:r w:rsidRPr="00932C33">
        <w:rPr>
          <w:rFonts w:ascii="Arial" w:hAnsi="Arial" w:cs="Arial"/>
          <w:i/>
          <w:sz w:val="22"/>
          <w:szCs w:val="22"/>
        </w:rPr>
        <w:t xml:space="preserve">“…Es importante para el CIEMTEC al igual que la VIE poder contar con esta plaza de forma permanente para evitar anualmente los trámites administrativos de </w:t>
      </w:r>
      <w:r w:rsidRPr="00932C33">
        <w:rPr>
          <w:rFonts w:ascii="Arial" w:hAnsi="Arial" w:cs="Arial"/>
          <w:i/>
          <w:sz w:val="22"/>
          <w:szCs w:val="22"/>
        </w:rPr>
        <w:lastRenderedPageBreak/>
        <w:t>nombramiento. Así como mencionar que la persona nombrada en esta plaza da apoyo a los investigadores y en el quehacer del CIEMTEC, el cual se encuentra en un proceso de acreditación de algunas pruebas.</w:t>
      </w:r>
    </w:p>
    <w:p w:rsidR="00932C33" w:rsidRPr="00932C33" w:rsidRDefault="00932C33" w:rsidP="00932C33">
      <w:pPr>
        <w:ind w:left="709" w:right="475"/>
        <w:jc w:val="both"/>
        <w:rPr>
          <w:rFonts w:ascii="Arial" w:hAnsi="Arial" w:cs="Arial"/>
          <w:i/>
        </w:rPr>
      </w:pPr>
      <w:r w:rsidRPr="00932C33">
        <w:rPr>
          <w:rFonts w:ascii="Arial" w:hAnsi="Arial" w:cs="Arial"/>
          <w:i/>
          <w:sz w:val="22"/>
          <w:szCs w:val="22"/>
        </w:rPr>
        <w:t>Será de suma importancia para el CIEMTEC poder contar con esta plaza de forma permanente, por lo que recomiendo hacer los trámites correspondientes.”</w:t>
      </w:r>
    </w:p>
    <w:p w:rsidR="00932C33" w:rsidRPr="00932C33" w:rsidRDefault="00932C33" w:rsidP="00932C33">
      <w:pPr>
        <w:numPr>
          <w:ilvl w:val="0"/>
          <w:numId w:val="48"/>
        </w:numPr>
        <w:ind w:left="426" w:hanging="426"/>
        <w:contextualSpacing/>
        <w:jc w:val="both"/>
        <w:rPr>
          <w:rFonts w:ascii="Arial" w:hAnsi="Arial" w:cs="Arial"/>
        </w:rPr>
      </w:pPr>
      <w:r w:rsidRPr="00932C33">
        <w:rPr>
          <w:rFonts w:ascii="Arial" w:hAnsi="Arial" w:cs="Arial"/>
        </w:rPr>
        <w:t xml:space="preserve">En reunión sostenida el día viernes 15 de junio de </w:t>
      </w:r>
      <w:proofErr w:type="gramStart"/>
      <w:r w:rsidRPr="00932C33">
        <w:rPr>
          <w:rFonts w:ascii="Arial" w:hAnsi="Arial" w:cs="Arial"/>
        </w:rPr>
        <w:t>2018,  entre</w:t>
      </w:r>
      <w:proofErr w:type="gramEnd"/>
      <w:r w:rsidRPr="00932C33">
        <w:rPr>
          <w:rFonts w:ascii="Arial" w:hAnsi="Arial" w:cs="Arial"/>
        </w:rPr>
        <w:t xml:space="preserve"> el Ing. José Luis León Salazar, Coordinador del Centro de Investigación y Extensión en Materiales, y la </w:t>
      </w:r>
      <w:proofErr w:type="spellStart"/>
      <w:r w:rsidRPr="00932C33">
        <w:rPr>
          <w:rFonts w:ascii="Arial" w:hAnsi="Arial" w:cs="Arial"/>
        </w:rPr>
        <w:t>MSc</w:t>
      </w:r>
      <w:proofErr w:type="spellEnd"/>
      <w:r w:rsidRPr="00932C33">
        <w:rPr>
          <w:rFonts w:ascii="Arial" w:hAnsi="Arial" w:cs="Arial"/>
        </w:rPr>
        <w:t>. Ana Rosa Ruiz Fernández, Coordinadora de la Comisión de Planificación y Administración, el Ingeniero León externa la necesidad de convertir la citada plaza de temporal a permanente, en vista de las necesidades planteadas.</w:t>
      </w:r>
    </w:p>
    <w:p w:rsidR="00932C33" w:rsidRPr="00932C33" w:rsidRDefault="00932C33" w:rsidP="00932C33">
      <w:pPr>
        <w:contextualSpacing/>
        <w:jc w:val="both"/>
        <w:rPr>
          <w:rFonts w:ascii="Arial" w:hAnsi="Arial" w:cs="Arial"/>
        </w:rPr>
      </w:pPr>
    </w:p>
    <w:p w:rsidR="00932C33" w:rsidRPr="00932C33" w:rsidRDefault="00932C33" w:rsidP="00932C33">
      <w:pPr>
        <w:numPr>
          <w:ilvl w:val="0"/>
          <w:numId w:val="48"/>
        </w:numPr>
        <w:ind w:left="426" w:hanging="426"/>
        <w:contextualSpacing/>
        <w:jc w:val="both"/>
        <w:rPr>
          <w:rFonts w:ascii="Arial" w:hAnsi="Arial" w:cs="Arial"/>
        </w:rPr>
      </w:pPr>
      <w:r w:rsidRPr="00932C33">
        <w:rPr>
          <w:rFonts w:ascii="Arial" w:hAnsi="Arial" w:cs="Arial"/>
        </w:rPr>
        <w:t xml:space="preserve">La Comisión de Planificación y Administración en la reunión No. 775-2018, realizada el 21 de junio de 2018, revisa la propuesta adjunta al oficio CIEMTEC-016-2018 y </w:t>
      </w:r>
      <w:r w:rsidRPr="00932C33">
        <w:rPr>
          <w:rFonts w:ascii="Arial" w:hAnsi="Arial" w:cs="Arial"/>
          <w:lang w:val="es-ES_tradnl"/>
        </w:rPr>
        <w:t>dispone</w:t>
      </w:r>
      <w:r w:rsidRPr="00932C33">
        <w:rPr>
          <w:rFonts w:ascii="Arial" w:hAnsi="Arial" w:cs="Arial"/>
        </w:rPr>
        <w:t xml:space="preserve"> dictaminar de manera positiva la modificación de las condiciones de la plaza CT-0319 (temporal) a (CF-2950) permanente, Asistente en Administración 2, de condición temporal a permanente.</w:t>
      </w:r>
    </w:p>
    <w:p w:rsidR="00932C33" w:rsidRPr="00932C33" w:rsidRDefault="00932C33" w:rsidP="00932C33">
      <w:pPr>
        <w:ind w:left="-436"/>
        <w:contextualSpacing/>
        <w:jc w:val="both"/>
        <w:rPr>
          <w:rFonts w:ascii="Arial" w:eastAsia="Calibri" w:hAnsi="Arial" w:cs="Arial"/>
          <w:b/>
          <w:sz w:val="28"/>
          <w:szCs w:val="22"/>
          <w:highlight w:val="yellow"/>
          <w:lang w:eastAsia="en-US"/>
        </w:rPr>
      </w:pPr>
    </w:p>
    <w:p w:rsidR="00932C33" w:rsidRPr="00932C33" w:rsidRDefault="00932C33" w:rsidP="00932C33">
      <w:pPr>
        <w:ind w:left="-142"/>
        <w:contextualSpacing/>
        <w:jc w:val="both"/>
        <w:rPr>
          <w:rFonts w:ascii="Arial" w:eastAsia="Calibri" w:hAnsi="Arial" w:cs="Arial"/>
          <w:b/>
          <w:sz w:val="28"/>
          <w:szCs w:val="22"/>
          <w:lang w:val="es-CR" w:eastAsia="en-US"/>
        </w:rPr>
      </w:pPr>
      <w:r w:rsidRPr="00932C33">
        <w:rPr>
          <w:rFonts w:ascii="Arial" w:eastAsia="Calibri" w:hAnsi="Arial" w:cs="Arial"/>
          <w:b/>
          <w:sz w:val="28"/>
          <w:szCs w:val="22"/>
          <w:lang w:val="es-CR" w:eastAsia="en-US"/>
        </w:rPr>
        <w:t>SE</w:t>
      </w:r>
      <w:r>
        <w:rPr>
          <w:rFonts w:ascii="Arial" w:eastAsia="Calibri" w:hAnsi="Arial" w:cs="Arial"/>
          <w:b/>
          <w:sz w:val="28"/>
          <w:szCs w:val="22"/>
          <w:lang w:val="es-CR" w:eastAsia="en-US"/>
        </w:rPr>
        <w:t xml:space="preserve"> ACUERDA</w:t>
      </w:r>
      <w:r w:rsidRPr="00932C33">
        <w:rPr>
          <w:rFonts w:ascii="Arial" w:eastAsia="Calibri" w:hAnsi="Arial" w:cs="Arial"/>
          <w:b/>
          <w:sz w:val="28"/>
          <w:szCs w:val="22"/>
          <w:lang w:val="es-CR" w:eastAsia="en-US"/>
        </w:rPr>
        <w:t>:</w:t>
      </w:r>
    </w:p>
    <w:p w:rsidR="00932C33" w:rsidRPr="00932C33" w:rsidRDefault="00932C33" w:rsidP="00932C33">
      <w:pPr>
        <w:rPr>
          <w:rFonts w:ascii="Arial" w:hAnsi="Arial" w:cs="Arial"/>
          <w:sz w:val="20"/>
          <w:szCs w:val="20"/>
        </w:rPr>
      </w:pPr>
    </w:p>
    <w:p w:rsidR="00932C33" w:rsidRPr="00932C33" w:rsidRDefault="00932C33" w:rsidP="00932C33">
      <w:pPr>
        <w:numPr>
          <w:ilvl w:val="0"/>
          <w:numId w:val="47"/>
        </w:numPr>
        <w:ind w:left="252"/>
        <w:contextualSpacing/>
        <w:jc w:val="both"/>
        <w:rPr>
          <w:rFonts w:ascii="Arial" w:eastAsia="Calibri" w:hAnsi="Arial" w:cs="Arial"/>
          <w:lang w:eastAsia="en-US"/>
        </w:rPr>
      </w:pPr>
      <w:r w:rsidRPr="00932C33">
        <w:rPr>
          <w:rFonts w:ascii="Arial" w:eastAsia="Calibri" w:hAnsi="Arial" w:cs="Arial"/>
          <w:lang w:eastAsia="en-US"/>
        </w:rPr>
        <w:t>Modificar las condiciones y características de la plaza CT0319, Asistente de Administración 2, aprobada mediante el acuerdo de la Sesión Ordinaria No. 3000, Artículo 8, del 30 de noviembre de 2016, “Renovación y Reconversión de Plazas 2017 – Fondos FEES”, según el siguiente cuadro:</w:t>
      </w:r>
    </w:p>
    <w:p w:rsidR="00932C33" w:rsidRPr="00932C33" w:rsidRDefault="00932C33" w:rsidP="00932C33">
      <w:pPr>
        <w:numPr>
          <w:ilvl w:val="0"/>
          <w:numId w:val="45"/>
        </w:numPr>
        <w:ind w:left="708"/>
        <w:contextualSpacing/>
        <w:jc w:val="both"/>
        <w:rPr>
          <w:rFonts w:ascii="Arial" w:eastAsia="Calibri" w:hAnsi="Arial" w:cs="Arial"/>
          <w:sz w:val="16"/>
          <w:szCs w:val="16"/>
          <w:lang w:val="es-CR" w:eastAsia="en-US"/>
        </w:rPr>
      </w:pPr>
    </w:p>
    <w:p w:rsidR="00932C33" w:rsidRPr="00932C33" w:rsidRDefault="00932C33" w:rsidP="00932C33">
      <w:pPr>
        <w:ind w:left="720"/>
        <w:jc w:val="both"/>
        <w:rPr>
          <w:rFonts w:ascii="Arial" w:eastAsia="Calibri" w:hAnsi="Arial" w:cs="Arial"/>
        </w:rPr>
      </w:pPr>
    </w:p>
    <w:tbl>
      <w:tblPr>
        <w:tblW w:w="10606" w:type="dxa"/>
        <w:tblInd w:w="-1168" w:type="dxa"/>
        <w:tblLayout w:type="fixed"/>
        <w:tblLook w:val="0000" w:firstRow="0" w:lastRow="0" w:firstColumn="0" w:lastColumn="0" w:noHBand="0" w:noVBand="0"/>
      </w:tblPr>
      <w:tblGrid>
        <w:gridCol w:w="525"/>
        <w:gridCol w:w="393"/>
        <w:gridCol w:w="920"/>
        <w:gridCol w:w="919"/>
        <w:gridCol w:w="1050"/>
        <w:gridCol w:w="525"/>
        <w:gridCol w:w="525"/>
        <w:gridCol w:w="920"/>
        <w:gridCol w:w="656"/>
        <w:gridCol w:w="1314"/>
        <w:gridCol w:w="1182"/>
        <w:gridCol w:w="1677"/>
      </w:tblGrid>
      <w:tr w:rsidR="00932C33" w:rsidRPr="00932C33" w:rsidTr="00932C33">
        <w:trPr>
          <w:cantSplit/>
          <w:trHeight w:val="983"/>
        </w:trPr>
        <w:tc>
          <w:tcPr>
            <w:tcW w:w="525" w:type="dxa"/>
            <w:tcBorders>
              <w:top w:val="single" w:sz="4" w:space="0" w:color="000000"/>
              <w:left w:val="single" w:sz="4" w:space="0" w:color="000000"/>
              <w:bottom w:val="single" w:sz="4" w:space="0" w:color="000000"/>
              <w:right w:val="single" w:sz="4" w:space="0" w:color="000000"/>
            </w:tcBorders>
            <w:shd w:val="clear" w:color="auto" w:fill="2F75B5"/>
            <w:vAlign w:val="center"/>
          </w:tcPr>
          <w:p w:rsidR="00932C33" w:rsidRPr="00932C33" w:rsidRDefault="00932C33" w:rsidP="00932C33">
            <w:pPr>
              <w:jc w:val="center"/>
              <w:rPr>
                <w:sz w:val="20"/>
                <w:szCs w:val="20"/>
              </w:rPr>
            </w:pPr>
            <w:r w:rsidRPr="00932C33">
              <w:rPr>
                <w:rFonts w:ascii="Arial" w:eastAsia="Arial" w:hAnsi="Arial" w:cs="Arial"/>
                <w:b/>
                <w:sz w:val="20"/>
                <w:szCs w:val="20"/>
              </w:rPr>
              <w:t>#</w:t>
            </w:r>
          </w:p>
        </w:tc>
        <w:tc>
          <w:tcPr>
            <w:tcW w:w="393" w:type="dxa"/>
            <w:tcBorders>
              <w:top w:val="single" w:sz="4" w:space="0" w:color="000000"/>
              <w:left w:val="nil"/>
              <w:bottom w:val="single" w:sz="4" w:space="0" w:color="000000"/>
              <w:right w:val="single" w:sz="4" w:space="0" w:color="000000"/>
            </w:tcBorders>
            <w:shd w:val="clear" w:color="auto" w:fill="2F75B5"/>
            <w:textDirection w:val="btLr"/>
            <w:vAlign w:val="center"/>
          </w:tcPr>
          <w:p w:rsidR="00932C33" w:rsidRPr="00932C33" w:rsidRDefault="00932C33" w:rsidP="00932C33">
            <w:pPr>
              <w:ind w:left="113" w:right="113"/>
              <w:jc w:val="center"/>
              <w:rPr>
                <w:sz w:val="20"/>
                <w:szCs w:val="20"/>
              </w:rPr>
            </w:pPr>
            <w:proofErr w:type="spellStart"/>
            <w:r w:rsidRPr="00932C33">
              <w:rPr>
                <w:rFonts w:ascii="Arial" w:eastAsia="Arial" w:hAnsi="Arial" w:cs="Arial"/>
                <w:b/>
                <w:sz w:val="20"/>
                <w:szCs w:val="20"/>
              </w:rPr>
              <w:t>Prog</w:t>
            </w:r>
            <w:proofErr w:type="spellEnd"/>
            <w:r w:rsidRPr="00932C33">
              <w:rPr>
                <w:rFonts w:ascii="Arial" w:eastAsia="Arial" w:hAnsi="Arial" w:cs="Arial"/>
                <w:b/>
                <w:sz w:val="20"/>
                <w:szCs w:val="20"/>
              </w:rPr>
              <w:t>.</w:t>
            </w:r>
          </w:p>
        </w:tc>
        <w:tc>
          <w:tcPr>
            <w:tcW w:w="920" w:type="dxa"/>
            <w:tcBorders>
              <w:top w:val="single" w:sz="4" w:space="0" w:color="000000"/>
              <w:left w:val="nil"/>
              <w:bottom w:val="single" w:sz="4" w:space="0" w:color="000000"/>
              <w:right w:val="single" w:sz="4" w:space="0" w:color="000000"/>
            </w:tcBorders>
            <w:shd w:val="clear" w:color="auto" w:fill="2F75B5"/>
            <w:vAlign w:val="center"/>
          </w:tcPr>
          <w:p w:rsidR="00932C33" w:rsidRPr="00932C33" w:rsidRDefault="00932C33" w:rsidP="00932C33">
            <w:pPr>
              <w:jc w:val="center"/>
              <w:rPr>
                <w:sz w:val="20"/>
                <w:szCs w:val="20"/>
              </w:rPr>
            </w:pPr>
            <w:r w:rsidRPr="00932C33">
              <w:rPr>
                <w:rFonts w:ascii="Arial" w:eastAsia="Arial" w:hAnsi="Arial" w:cs="Arial"/>
                <w:b/>
                <w:sz w:val="20"/>
                <w:szCs w:val="20"/>
              </w:rPr>
              <w:t>Cód. plaza Actual</w:t>
            </w:r>
          </w:p>
        </w:tc>
        <w:tc>
          <w:tcPr>
            <w:tcW w:w="919" w:type="dxa"/>
            <w:tcBorders>
              <w:top w:val="single" w:sz="4" w:space="0" w:color="000000"/>
              <w:left w:val="nil"/>
              <w:bottom w:val="single" w:sz="4" w:space="0" w:color="000000"/>
              <w:right w:val="single" w:sz="4" w:space="0" w:color="000000"/>
            </w:tcBorders>
            <w:shd w:val="clear" w:color="auto" w:fill="2F75B5"/>
            <w:vAlign w:val="center"/>
          </w:tcPr>
          <w:p w:rsidR="00932C33" w:rsidRPr="00932C33" w:rsidRDefault="00932C33" w:rsidP="00932C33">
            <w:pPr>
              <w:jc w:val="center"/>
              <w:rPr>
                <w:sz w:val="20"/>
                <w:szCs w:val="20"/>
              </w:rPr>
            </w:pPr>
            <w:r w:rsidRPr="00932C33">
              <w:rPr>
                <w:rFonts w:ascii="Calibri" w:eastAsia="Calibri" w:hAnsi="Calibri" w:cs="Calibri"/>
                <w:b/>
                <w:sz w:val="20"/>
                <w:szCs w:val="20"/>
              </w:rPr>
              <w:t>Nuevo</w:t>
            </w:r>
            <w:r w:rsidRPr="00932C33">
              <w:rPr>
                <w:rFonts w:ascii="Calibri" w:eastAsia="Calibri" w:hAnsi="Calibri" w:cs="Calibri"/>
                <w:b/>
                <w:sz w:val="20"/>
                <w:szCs w:val="20"/>
              </w:rPr>
              <w:br/>
            </w:r>
            <w:proofErr w:type="spellStart"/>
            <w:r w:rsidRPr="00932C33">
              <w:rPr>
                <w:rFonts w:ascii="Calibri" w:eastAsia="Calibri" w:hAnsi="Calibri" w:cs="Calibri"/>
                <w:b/>
                <w:sz w:val="20"/>
                <w:szCs w:val="20"/>
              </w:rPr>
              <w:t>Num</w:t>
            </w:r>
            <w:proofErr w:type="spellEnd"/>
            <w:r w:rsidRPr="00932C33">
              <w:rPr>
                <w:rFonts w:ascii="Calibri" w:eastAsia="Calibri" w:hAnsi="Calibri" w:cs="Calibri"/>
                <w:b/>
                <w:sz w:val="20"/>
                <w:szCs w:val="20"/>
              </w:rPr>
              <w:t xml:space="preserve"> Plaza</w:t>
            </w:r>
          </w:p>
        </w:tc>
        <w:tc>
          <w:tcPr>
            <w:tcW w:w="1050" w:type="dxa"/>
            <w:tcBorders>
              <w:top w:val="single" w:sz="4" w:space="0" w:color="000000"/>
              <w:left w:val="nil"/>
              <w:bottom w:val="single" w:sz="4" w:space="0" w:color="000000"/>
              <w:right w:val="single" w:sz="4" w:space="0" w:color="000000"/>
            </w:tcBorders>
            <w:shd w:val="clear" w:color="auto" w:fill="2F75B5"/>
            <w:vAlign w:val="center"/>
          </w:tcPr>
          <w:p w:rsidR="00932C33" w:rsidRPr="00932C33" w:rsidRDefault="00932C33" w:rsidP="00932C33">
            <w:pPr>
              <w:jc w:val="center"/>
              <w:rPr>
                <w:sz w:val="20"/>
                <w:szCs w:val="20"/>
              </w:rPr>
            </w:pPr>
            <w:r w:rsidRPr="00932C33">
              <w:rPr>
                <w:rFonts w:ascii="Arial" w:eastAsia="Arial" w:hAnsi="Arial" w:cs="Arial"/>
                <w:b/>
                <w:sz w:val="20"/>
                <w:szCs w:val="20"/>
              </w:rPr>
              <w:t>Puesto</w:t>
            </w:r>
          </w:p>
        </w:tc>
        <w:tc>
          <w:tcPr>
            <w:tcW w:w="525" w:type="dxa"/>
            <w:tcBorders>
              <w:top w:val="single" w:sz="4" w:space="0" w:color="000000"/>
              <w:left w:val="nil"/>
              <w:bottom w:val="single" w:sz="4" w:space="0" w:color="000000"/>
              <w:right w:val="single" w:sz="4" w:space="0" w:color="000000"/>
            </w:tcBorders>
            <w:shd w:val="clear" w:color="auto" w:fill="2F75B5"/>
            <w:textDirection w:val="btLr"/>
            <w:vAlign w:val="center"/>
          </w:tcPr>
          <w:p w:rsidR="00932C33" w:rsidRPr="00932C33" w:rsidRDefault="00932C33" w:rsidP="00932C33">
            <w:pPr>
              <w:ind w:left="113" w:right="113"/>
              <w:jc w:val="center"/>
              <w:rPr>
                <w:sz w:val="20"/>
                <w:szCs w:val="20"/>
              </w:rPr>
            </w:pPr>
            <w:r w:rsidRPr="00932C33">
              <w:rPr>
                <w:rFonts w:ascii="Arial" w:eastAsia="Arial" w:hAnsi="Arial" w:cs="Arial"/>
                <w:b/>
                <w:sz w:val="20"/>
                <w:szCs w:val="20"/>
              </w:rPr>
              <w:t>Categoría</w:t>
            </w:r>
          </w:p>
        </w:tc>
        <w:tc>
          <w:tcPr>
            <w:tcW w:w="525" w:type="dxa"/>
            <w:tcBorders>
              <w:top w:val="single" w:sz="4" w:space="0" w:color="000000"/>
              <w:left w:val="nil"/>
              <w:bottom w:val="single" w:sz="4" w:space="0" w:color="000000"/>
              <w:right w:val="single" w:sz="4" w:space="0" w:color="000000"/>
            </w:tcBorders>
            <w:shd w:val="clear" w:color="auto" w:fill="2F75B5"/>
            <w:textDirection w:val="btLr"/>
            <w:vAlign w:val="center"/>
          </w:tcPr>
          <w:p w:rsidR="00932C33" w:rsidRPr="00932C33" w:rsidRDefault="00932C33" w:rsidP="00932C33">
            <w:pPr>
              <w:ind w:left="113" w:right="113"/>
              <w:jc w:val="center"/>
              <w:rPr>
                <w:sz w:val="20"/>
                <w:szCs w:val="20"/>
              </w:rPr>
            </w:pPr>
            <w:r w:rsidRPr="00932C33">
              <w:rPr>
                <w:rFonts w:ascii="Arial" w:eastAsia="Arial" w:hAnsi="Arial" w:cs="Arial"/>
                <w:b/>
                <w:sz w:val="20"/>
                <w:szCs w:val="20"/>
              </w:rPr>
              <w:t>Jornada</w:t>
            </w:r>
          </w:p>
        </w:tc>
        <w:tc>
          <w:tcPr>
            <w:tcW w:w="920" w:type="dxa"/>
            <w:tcBorders>
              <w:top w:val="single" w:sz="4" w:space="0" w:color="000000"/>
              <w:left w:val="nil"/>
              <w:bottom w:val="single" w:sz="4" w:space="0" w:color="000000"/>
              <w:right w:val="single" w:sz="4" w:space="0" w:color="000000"/>
            </w:tcBorders>
            <w:shd w:val="clear" w:color="auto" w:fill="2F75B5"/>
            <w:vAlign w:val="center"/>
          </w:tcPr>
          <w:p w:rsidR="00932C33" w:rsidRPr="00932C33" w:rsidRDefault="00932C33" w:rsidP="00932C33">
            <w:pPr>
              <w:jc w:val="center"/>
              <w:rPr>
                <w:sz w:val="20"/>
                <w:szCs w:val="20"/>
              </w:rPr>
            </w:pPr>
            <w:r w:rsidRPr="00932C33">
              <w:rPr>
                <w:rFonts w:ascii="Arial" w:eastAsia="Arial" w:hAnsi="Arial" w:cs="Arial"/>
                <w:b/>
                <w:sz w:val="20"/>
                <w:szCs w:val="20"/>
              </w:rPr>
              <w:t>Periodo (meses)</w:t>
            </w:r>
          </w:p>
        </w:tc>
        <w:tc>
          <w:tcPr>
            <w:tcW w:w="656" w:type="dxa"/>
            <w:tcBorders>
              <w:top w:val="single" w:sz="4" w:space="0" w:color="000000"/>
              <w:left w:val="nil"/>
              <w:bottom w:val="single" w:sz="4" w:space="0" w:color="000000"/>
              <w:right w:val="single" w:sz="4" w:space="0" w:color="000000"/>
            </w:tcBorders>
            <w:shd w:val="clear" w:color="auto" w:fill="2F75B5"/>
            <w:vAlign w:val="center"/>
          </w:tcPr>
          <w:p w:rsidR="00932C33" w:rsidRPr="00932C33" w:rsidRDefault="00932C33" w:rsidP="00932C33">
            <w:pPr>
              <w:jc w:val="center"/>
              <w:rPr>
                <w:sz w:val="20"/>
                <w:szCs w:val="20"/>
              </w:rPr>
            </w:pPr>
            <w:r w:rsidRPr="00932C33">
              <w:rPr>
                <w:rFonts w:ascii="Arial" w:eastAsia="Arial" w:hAnsi="Arial" w:cs="Arial"/>
                <w:b/>
                <w:sz w:val="20"/>
                <w:szCs w:val="20"/>
              </w:rPr>
              <w:t>TCE</w:t>
            </w:r>
          </w:p>
        </w:tc>
        <w:tc>
          <w:tcPr>
            <w:tcW w:w="1314" w:type="dxa"/>
            <w:tcBorders>
              <w:top w:val="single" w:sz="4" w:space="0" w:color="000000"/>
              <w:left w:val="nil"/>
              <w:bottom w:val="single" w:sz="4" w:space="0" w:color="000000"/>
              <w:right w:val="single" w:sz="4" w:space="0" w:color="000000"/>
            </w:tcBorders>
            <w:shd w:val="clear" w:color="auto" w:fill="2F75B5"/>
            <w:vAlign w:val="center"/>
          </w:tcPr>
          <w:p w:rsidR="00932C33" w:rsidRPr="00932C33" w:rsidRDefault="00932C33" w:rsidP="00932C33">
            <w:pPr>
              <w:jc w:val="center"/>
              <w:rPr>
                <w:sz w:val="20"/>
                <w:szCs w:val="20"/>
              </w:rPr>
            </w:pPr>
            <w:r w:rsidRPr="00932C33">
              <w:rPr>
                <w:rFonts w:ascii="Arial" w:eastAsia="Arial" w:hAnsi="Arial" w:cs="Arial"/>
                <w:b/>
                <w:sz w:val="20"/>
                <w:szCs w:val="20"/>
              </w:rPr>
              <w:t>Nombramiento</w:t>
            </w:r>
          </w:p>
        </w:tc>
        <w:tc>
          <w:tcPr>
            <w:tcW w:w="1182" w:type="dxa"/>
            <w:tcBorders>
              <w:top w:val="single" w:sz="4" w:space="0" w:color="000000"/>
              <w:left w:val="nil"/>
              <w:bottom w:val="single" w:sz="4" w:space="0" w:color="000000"/>
              <w:right w:val="single" w:sz="4" w:space="0" w:color="000000"/>
            </w:tcBorders>
            <w:shd w:val="clear" w:color="auto" w:fill="2F75B5"/>
            <w:vAlign w:val="center"/>
          </w:tcPr>
          <w:p w:rsidR="00932C33" w:rsidRPr="00932C33" w:rsidRDefault="00932C33" w:rsidP="00932C33">
            <w:pPr>
              <w:jc w:val="center"/>
              <w:rPr>
                <w:sz w:val="20"/>
                <w:szCs w:val="20"/>
              </w:rPr>
            </w:pPr>
            <w:r w:rsidRPr="00932C33">
              <w:rPr>
                <w:rFonts w:ascii="Arial" w:eastAsia="Arial" w:hAnsi="Arial" w:cs="Arial"/>
                <w:b/>
                <w:sz w:val="20"/>
                <w:szCs w:val="20"/>
              </w:rPr>
              <w:t>Adscrita a:</w:t>
            </w:r>
          </w:p>
        </w:tc>
        <w:tc>
          <w:tcPr>
            <w:tcW w:w="1677" w:type="dxa"/>
            <w:tcBorders>
              <w:top w:val="single" w:sz="4" w:space="0" w:color="000000"/>
              <w:left w:val="nil"/>
              <w:bottom w:val="single" w:sz="4" w:space="0" w:color="000000"/>
              <w:right w:val="single" w:sz="4" w:space="0" w:color="000000"/>
            </w:tcBorders>
            <w:shd w:val="clear" w:color="auto" w:fill="2F75B5"/>
            <w:vAlign w:val="center"/>
          </w:tcPr>
          <w:p w:rsidR="00932C33" w:rsidRPr="00932C33" w:rsidRDefault="00932C33" w:rsidP="00932C33">
            <w:pPr>
              <w:jc w:val="center"/>
              <w:rPr>
                <w:sz w:val="20"/>
                <w:szCs w:val="20"/>
              </w:rPr>
            </w:pPr>
            <w:r w:rsidRPr="00932C33">
              <w:rPr>
                <w:rFonts w:ascii="Arial" w:eastAsia="Arial" w:hAnsi="Arial" w:cs="Arial"/>
                <w:b/>
                <w:sz w:val="20"/>
                <w:szCs w:val="20"/>
              </w:rPr>
              <w:t>Observaciones</w:t>
            </w:r>
          </w:p>
        </w:tc>
      </w:tr>
      <w:tr w:rsidR="00932C33" w:rsidRPr="00932C33" w:rsidTr="0093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4"/>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932C33" w:rsidRPr="00932C33" w:rsidRDefault="00932C33" w:rsidP="00932C33">
            <w:pPr>
              <w:jc w:val="center"/>
              <w:rPr>
                <w:rFonts w:ascii="Arial" w:hAnsi="Arial" w:cs="Arial"/>
                <w:b/>
                <w:bCs/>
                <w:sz w:val="20"/>
                <w:szCs w:val="20"/>
                <w:lang w:val="es-CR" w:eastAsia="es-CR"/>
              </w:rPr>
            </w:pPr>
            <w:r w:rsidRPr="00932C33">
              <w:rPr>
                <w:rFonts w:ascii="Arial" w:hAnsi="Arial" w:cs="Arial"/>
                <w:b/>
                <w:bCs/>
                <w:sz w:val="20"/>
                <w:szCs w:val="20"/>
                <w:lang w:val="es-CR" w:eastAsia="es-CR"/>
              </w:rPr>
              <w:t>198</w:t>
            </w: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rsidR="00932C33" w:rsidRPr="00932C33" w:rsidRDefault="00932C33" w:rsidP="00932C33">
            <w:pPr>
              <w:jc w:val="center"/>
              <w:rPr>
                <w:rFonts w:ascii="Arial" w:hAnsi="Arial" w:cs="Arial"/>
                <w:sz w:val="20"/>
                <w:szCs w:val="20"/>
                <w:lang w:val="es-CR" w:eastAsia="es-CR"/>
              </w:rPr>
            </w:pPr>
            <w:r w:rsidRPr="00932C33">
              <w:rPr>
                <w:rFonts w:ascii="Arial" w:hAnsi="Arial" w:cs="Arial"/>
                <w:sz w:val="20"/>
                <w:szCs w:val="20"/>
                <w:lang w:val="es-CR" w:eastAsia="es-CR"/>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932C33" w:rsidRPr="00932C33" w:rsidRDefault="00932C33" w:rsidP="00932C33">
            <w:pPr>
              <w:jc w:val="center"/>
              <w:rPr>
                <w:rFonts w:ascii="Arial" w:hAnsi="Arial" w:cs="Arial"/>
                <w:sz w:val="20"/>
                <w:szCs w:val="20"/>
                <w:lang w:val="es-CR" w:eastAsia="es-CR"/>
              </w:rPr>
            </w:pPr>
            <w:r w:rsidRPr="00932C33">
              <w:rPr>
                <w:rFonts w:ascii="Arial" w:hAnsi="Arial" w:cs="Arial"/>
                <w:sz w:val="20"/>
                <w:szCs w:val="20"/>
                <w:lang w:val="es-CR" w:eastAsia="es-CR"/>
              </w:rPr>
              <w:t>CT0319</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932C33" w:rsidRPr="00932C33" w:rsidRDefault="00932C33" w:rsidP="00932C33">
            <w:pPr>
              <w:jc w:val="center"/>
              <w:rPr>
                <w:rFonts w:ascii="Arial" w:hAnsi="Arial" w:cs="Arial"/>
                <w:sz w:val="20"/>
                <w:szCs w:val="20"/>
                <w:lang w:val="es-CR" w:eastAsia="es-CR"/>
              </w:rPr>
            </w:pPr>
            <w:r w:rsidRPr="00932C33">
              <w:rPr>
                <w:rFonts w:ascii="Arial" w:hAnsi="Arial" w:cs="Arial"/>
                <w:sz w:val="20"/>
                <w:szCs w:val="20"/>
                <w:lang w:val="es-CR" w:eastAsia="es-CR"/>
              </w:rPr>
              <w:t>CF2950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932C33" w:rsidRPr="00932C33" w:rsidRDefault="00932C33" w:rsidP="00932C33">
            <w:pPr>
              <w:jc w:val="center"/>
              <w:rPr>
                <w:rFonts w:ascii="Arial" w:hAnsi="Arial" w:cs="Arial"/>
                <w:sz w:val="20"/>
                <w:szCs w:val="20"/>
                <w:lang w:val="es-CR" w:eastAsia="es-CR"/>
              </w:rPr>
            </w:pPr>
            <w:r w:rsidRPr="00932C33">
              <w:rPr>
                <w:rFonts w:ascii="Arial" w:hAnsi="Arial" w:cs="Arial"/>
                <w:sz w:val="20"/>
                <w:szCs w:val="20"/>
                <w:lang w:val="es-CR" w:eastAsia="es-CR"/>
              </w:rPr>
              <w:t>Asistente de Administración 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932C33" w:rsidRPr="00932C33" w:rsidRDefault="00932C33" w:rsidP="00932C33">
            <w:pPr>
              <w:jc w:val="center"/>
              <w:rPr>
                <w:rFonts w:ascii="Arial" w:hAnsi="Arial" w:cs="Arial"/>
                <w:sz w:val="20"/>
                <w:szCs w:val="20"/>
                <w:lang w:val="es-CR" w:eastAsia="es-CR"/>
              </w:rPr>
            </w:pPr>
            <w:r w:rsidRPr="00932C33">
              <w:rPr>
                <w:rFonts w:ascii="Arial" w:hAnsi="Arial" w:cs="Arial"/>
                <w:sz w:val="20"/>
                <w:szCs w:val="20"/>
                <w:lang w:val="es-CR" w:eastAsia="es-CR"/>
              </w:rPr>
              <w:t>10</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932C33" w:rsidRPr="00932C33" w:rsidRDefault="00932C33" w:rsidP="00932C33">
            <w:pPr>
              <w:jc w:val="center"/>
              <w:rPr>
                <w:rFonts w:ascii="Arial" w:hAnsi="Arial" w:cs="Arial"/>
                <w:sz w:val="20"/>
                <w:szCs w:val="20"/>
                <w:lang w:val="es-CR" w:eastAsia="es-CR"/>
              </w:rPr>
            </w:pPr>
            <w:r w:rsidRPr="00932C33">
              <w:rPr>
                <w:rFonts w:ascii="Arial" w:hAnsi="Arial" w:cs="Arial"/>
                <w:sz w:val="20"/>
                <w:szCs w:val="20"/>
                <w:lang w:val="es-CR" w:eastAsia="es-CR"/>
              </w:rPr>
              <w:t>50%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932C33" w:rsidRPr="00932C33" w:rsidRDefault="00932C33" w:rsidP="00932C33">
            <w:pPr>
              <w:jc w:val="center"/>
              <w:rPr>
                <w:rFonts w:ascii="Arial" w:hAnsi="Arial" w:cs="Arial"/>
                <w:sz w:val="20"/>
                <w:szCs w:val="20"/>
                <w:lang w:val="es-CR" w:eastAsia="es-CR"/>
              </w:rPr>
            </w:pPr>
            <w:r w:rsidRPr="00932C33">
              <w:rPr>
                <w:rFonts w:ascii="Arial" w:hAnsi="Arial" w:cs="Arial"/>
                <w:sz w:val="20"/>
                <w:szCs w:val="20"/>
                <w:lang w:val="es-CR" w:eastAsia="es-CR"/>
              </w:rPr>
              <w:t>12</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932C33" w:rsidRPr="00932C33" w:rsidRDefault="00932C33" w:rsidP="00932C33">
            <w:pPr>
              <w:jc w:val="center"/>
              <w:rPr>
                <w:rFonts w:ascii="Arial" w:hAnsi="Arial" w:cs="Arial"/>
                <w:sz w:val="20"/>
                <w:szCs w:val="20"/>
                <w:lang w:val="es-CR" w:eastAsia="es-CR"/>
              </w:rPr>
            </w:pPr>
            <w:r w:rsidRPr="00932C33">
              <w:rPr>
                <w:rFonts w:ascii="Arial" w:hAnsi="Arial" w:cs="Arial"/>
                <w:sz w:val="20"/>
                <w:szCs w:val="20"/>
                <w:lang w:val="es-CR" w:eastAsia="es-CR"/>
              </w:rPr>
              <w:t>0,50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32C33" w:rsidRPr="00932C33" w:rsidRDefault="00932C33" w:rsidP="00932C33">
            <w:pPr>
              <w:jc w:val="center"/>
              <w:rPr>
                <w:rFonts w:ascii="Arial" w:hAnsi="Arial" w:cs="Arial"/>
                <w:sz w:val="20"/>
                <w:szCs w:val="20"/>
                <w:lang w:val="es-CR" w:eastAsia="es-CR"/>
              </w:rPr>
            </w:pPr>
            <w:r w:rsidRPr="00932C33">
              <w:rPr>
                <w:rFonts w:ascii="Arial" w:hAnsi="Arial" w:cs="Arial"/>
                <w:sz w:val="20"/>
                <w:szCs w:val="20"/>
                <w:lang w:val="es-CR" w:eastAsia="es-CR"/>
              </w:rPr>
              <w:t>Permanente</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932C33" w:rsidRPr="00932C33" w:rsidRDefault="00932C33" w:rsidP="00932C33">
            <w:pPr>
              <w:jc w:val="both"/>
              <w:rPr>
                <w:rFonts w:ascii="Arial" w:hAnsi="Arial" w:cs="Arial"/>
                <w:sz w:val="20"/>
                <w:szCs w:val="20"/>
                <w:lang w:val="es-CR" w:eastAsia="es-CR"/>
              </w:rPr>
            </w:pPr>
            <w:r w:rsidRPr="00932C33">
              <w:rPr>
                <w:rFonts w:ascii="Arial" w:hAnsi="Arial" w:cs="Arial"/>
                <w:sz w:val="20"/>
                <w:szCs w:val="20"/>
                <w:lang w:val="es-CR" w:eastAsia="es-CR"/>
              </w:rPr>
              <w:t>Escuela Ciencia e Ing. de los Materiales</w:t>
            </w:r>
          </w:p>
          <w:p w:rsidR="00932C33" w:rsidRPr="00932C33" w:rsidRDefault="00932C33" w:rsidP="00932C33">
            <w:pPr>
              <w:jc w:val="both"/>
              <w:rPr>
                <w:rFonts w:ascii="Arial" w:hAnsi="Arial" w:cs="Arial"/>
                <w:sz w:val="20"/>
                <w:szCs w:val="20"/>
                <w:lang w:val="es-CR" w:eastAsia="es-CR"/>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932C33" w:rsidRPr="00932C33" w:rsidRDefault="00932C33" w:rsidP="00932C33">
            <w:pPr>
              <w:jc w:val="both"/>
              <w:rPr>
                <w:rFonts w:ascii="Arial" w:hAnsi="Arial" w:cs="Arial"/>
                <w:sz w:val="20"/>
                <w:szCs w:val="20"/>
                <w:lang w:val="es-CR" w:eastAsia="es-CR"/>
              </w:rPr>
            </w:pPr>
            <w:r w:rsidRPr="00932C33">
              <w:rPr>
                <w:rFonts w:ascii="Arial" w:hAnsi="Arial" w:cs="Arial"/>
                <w:sz w:val="20"/>
                <w:szCs w:val="20"/>
                <w:lang w:val="es-CR" w:eastAsia="es-CR"/>
              </w:rPr>
              <w:t>Reserva 3% FEES para Investigación (Centro de Investigación en Materiales)</w:t>
            </w:r>
          </w:p>
        </w:tc>
      </w:tr>
    </w:tbl>
    <w:p w:rsidR="00932C33" w:rsidRPr="00932C33" w:rsidRDefault="00932C33" w:rsidP="00932C33">
      <w:pPr>
        <w:ind w:left="708"/>
        <w:contextualSpacing/>
        <w:jc w:val="both"/>
        <w:rPr>
          <w:rFonts w:ascii="Arial" w:eastAsia="Calibri" w:hAnsi="Arial" w:cs="Arial"/>
          <w:sz w:val="16"/>
          <w:szCs w:val="16"/>
          <w:lang w:val="es-CR" w:eastAsia="en-US"/>
        </w:rPr>
      </w:pPr>
    </w:p>
    <w:p w:rsidR="00932C33" w:rsidRDefault="00932C33" w:rsidP="007742A1">
      <w:pPr>
        <w:jc w:val="both"/>
        <w:rPr>
          <w:rFonts w:ascii="Arial" w:eastAsia="Cambria" w:hAnsi="Arial" w:cs="Arial"/>
          <w:lang w:val="es-ES_tradnl" w:eastAsia="en-US"/>
        </w:rPr>
      </w:pPr>
    </w:p>
    <w:p w:rsidR="001E1E49" w:rsidRPr="001A7DF9" w:rsidRDefault="003859C1" w:rsidP="00932C33">
      <w:pPr>
        <w:numPr>
          <w:ilvl w:val="0"/>
          <w:numId w:val="47"/>
        </w:numPr>
        <w:ind w:left="252"/>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1A7DF9" w:rsidRDefault="001A7DF9" w:rsidP="001A7DF9">
      <w:pPr>
        <w:autoSpaceDE w:val="0"/>
        <w:autoSpaceDN w:val="0"/>
        <w:adjustRightInd w:val="0"/>
        <w:ind w:right="-91"/>
        <w:jc w:val="both"/>
        <w:rPr>
          <w:rFonts w:ascii="Arial" w:hAnsi="Arial" w:cs="Arial"/>
          <w:b/>
          <w:sz w:val="22"/>
          <w:szCs w:val="22"/>
          <w:lang w:val="es-CR"/>
        </w:rPr>
      </w:pPr>
    </w:p>
    <w:p w:rsidR="001E1E49" w:rsidRPr="00932C33" w:rsidRDefault="00932C33" w:rsidP="00932C33">
      <w:pPr>
        <w:tabs>
          <w:tab w:val="left" w:pos="760"/>
        </w:tabs>
        <w:spacing w:line="276" w:lineRule="auto"/>
        <w:jc w:val="both"/>
        <w:rPr>
          <w:rFonts w:ascii="Arial" w:hAnsi="Arial" w:cs="Arial"/>
        </w:rPr>
      </w:pPr>
      <w:r w:rsidRPr="00932C33">
        <w:rPr>
          <w:rFonts w:ascii="Arial" w:hAnsi="Arial" w:cs="Arial"/>
          <w:b/>
          <w:sz w:val="22"/>
          <w:szCs w:val="22"/>
        </w:rPr>
        <w:t>Palabras clave: Modificación – plaza – CT-0319 – Asistente –Administración 02 – Temporal – Permanente – Dirección VIE</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368" w:rsidRDefault="00A56368">
      <w:r>
        <w:separator/>
      </w:r>
    </w:p>
  </w:endnote>
  <w:endnote w:type="continuationSeparator" w:id="0">
    <w:p w:rsidR="00A56368" w:rsidRDefault="00A5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368" w:rsidRDefault="00A56368">
      <w:r>
        <w:separator/>
      </w:r>
    </w:p>
  </w:footnote>
  <w:footnote w:type="continuationSeparator" w:id="0">
    <w:p w:rsidR="00A56368" w:rsidRDefault="00A5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8401FA">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8401FA">
      <w:rPr>
        <w:rFonts w:ascii="Arial" w:eastAsia="Cambria" w:hAnsi="Arial" w:cs="Arial"/>
        <w:i/>
        <w:sz w:val="18"/>
        <w:szCs w:val="18"/>
        <w:lang w:val="es-ES_tradnl" w:eastAsia="x-none"/>
      </w:rPr>
      <w:t>1</w:t>
    </w:r>
    <w:r w:rsidR="00932C33">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52439">
      <w:rPr>
        <w:rFonts w:ascii="Arial" w:eastAsia="Cambria" w:hAnsi="Arial" w:cs="Arial"/>
        <w:i/>
        <w:sz w:val="18"/>
        <w:szCs w:val="18"/>
        <w:lang w:val="es-ES_tradnl" w:eastAsia="x-none"/>
      </w:rPr>
      <w:t>2</w:t>
    </w:r>
    <w:r w:rsidR="008401FA">
      <w:rPr>
        <w:rFonts w:ascii="Arial" w:eastAsia="Cambria" w:hAnsi="Arial" w:cs="Arial"/>
        <w:i/>
        <w:sz w:val="18"/>
        <w:szCs w:val="18"/>
        <w:lang w:val="es-ES_tradnl" w:eastAsia="x-none"/>
      </w:rPr>
      <w:t>7</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32C33">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4B13F6"/>
    <w:multiLevelType w:val="hybridMultilevel"/>
    <w:tmpl w:val="FDBA58BC"/>
    <w:lvl w:ilvl="0" w:tplc="A5A662BA">
      <w:start w:val="1"/>
      <w:numFmt w:val="decimal"/>
      <w:lvlText w:val="%1."/>
      <w:lvlJc w:val="left"/>
      <w:pPr>
        <w:ind w:left="720" w:hanging="360"/>
      </w:pPr>
      <w:rPr>
        <w:rFonts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5D01FAE"/>
    <w:multiLevelType w:val="hybridMultilevel"/>
    <w:tmpl w:val="D34A3FCC"/>
    <w:lvl w:ilvl="0" w:tplc="FCB2CC72">
      <w:start w:val="1"/>
      <w:numFmt w:val="lowerLetter"/>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AD300B6"/>
    <w:multiLevelType w:val="hybridMultilevel"/>
    <w:tmpl w:val="06AA2A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D4534B8"/>
    <w:multiLevelType w:val="hybridMultilevel"/>
    <w:tmpl w:val="881AD67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0E157E37"/>
    <w:multiLevelType w:val="hybridMultilevel"/>
    <w:tmpl w:val="EE8E66CA"/>
    <w:lvl w:ilvl="0" w:tplc="D66EC9A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2"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2A1360BF"/>
    <w:multiLevelType w:val="hybridMultilevel"/>
    <w:tmpl w:val="7FE2A9C8"/>
    <w:lvl w:ilvl="0" w:tplc="D5E8B5B4">
      <w:start w:val="44"/>
      <w:numFmt w:val="upperLetter"/>
      <w:pStyle w:val="Subttulo"/>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2E7D3DC6"/>
    <w:multiLevelType w:val="hybridMultilevel"/>
    <w:tmpl w:val="9D1A653A"/>
    <w:lvl w:ilvl="0" w:tplc="BFBE5B92">
      <w:start w:val="1"/>
      <w:numFmt w:val="lowerLetter"/>
      <w:lvlText w:val="%1."/>
      <w:lvlJc w:val="left"/>
      <w:pPr>
        <w:ind w:left="720" w:hanging="360"/>
      </w:pPr>
      <w:rPr>
        <w:rFonts w:ascii="Arial" w:hAnsi="Arial" w:cs="Arial"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1914A72"/>
    <w:multiLevelType w:val="hybridMultilevel"/>
    <w:tmpl w:val="88489E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33A08C1"/>
    <w:multiLevelType w:val="hybridMultilevel"/>
    <w:tmpl w:val="2086211A"/>
    <w:lvl w:ilvl="0" w:tplc="790E987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4BA7C37"/>
    <w:multiLevelType w:val="hybridMultilevel"/>
    <w:tmpl w:val="6980EF50"/>
    <w:lvl w:ilvl="0" w:tplc="55B2FAAA">
      <w:start w:val="1"/>
      <w:numFmt w:val="decimal"/>
      <w:lvlText w:val="%1."/>
      <w:lvlJc w:val="left"/>
      <w:pPr>
        <w:ind w:left="720" w:hanging="360"/>
      </w:pPr>
      <w:rPr>
        <w:rFonts w:ascii="Arial" w:hAnsi="Arial" w:cs="Arial" w:hint="default"/>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973B45"/>
    <w:multiLevelType w:val="hybridMultilevel"/>
    <w:tmpl w:val="1C9E4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24" w15:restartNumberingAfterBreak="0">
    <w:nsid w:val="476D5DD6"/>
    <w:multiLevelType w:val="hybridMultilevel"/>
    <w:tmpl w:val="CD5CC008"/>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9726677"/>
    <w:multiLevelType w:val="hybridMultilevel"/>
    <w:tmpl w:val="D31674B4"/>
    <w:lvl w:ilvl="0" w:tplc="F5A0BF5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2C166E"/>
    <w:multiLevelType w:val="hybridMultilevel"/>
    <w:tmpl w:val="7A5C8342"/>
    <w:lvl w:ilvl="0" w:tplc="80C6C9A2">
      <w:start w:val="1"/>
      <w:numFmt w:val="decimal"/>
      <w:lvlText w:val="%1."/>
      <w:lvlJc w:val="left"/>
      <w:pPr>
        <w:ind w:left="720" w:hanging="360"/>
      </w:pPr>
      <w:rPr>
        <w:rFonts w:hint="default"/>
        <w:b/>
        <w:color w:val="00000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8" w15:restartNumberingAfterBreak="0">
    <w:nsid w:val="5C6D1BDE"/>
    <w:multiLevelType w:val="hybridMultilevel"/>
    <w:tmpl w:val="A92C9E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32" w15:restartNumberingAfterBreak="0">
    <w:nsid w:val="6399399C"/>
    <w:multiLevelType w:val="hybridMultilevel"/>
    <w:tmpl w:val="EEEC5288"/>
    <w:lvl w:ilvl="0" w:tplc="93188B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3CA7D28"/>
    <w:multiLevelType w:val="hybridMultilevel"/>
    <w:tmpl w:val="7A0E0FAC"/>
    <w:lvl w:ilvl="0" w:tplc="7CD8C9E6">
      <w:start w:val="1"/>
      <w:numFmt w:val="bullet"/>
      <w:lvlText w:val=""/>
      <w:lvlJc w:val="left"/>
      <w:pPr>
        <w:ind w:left="1571" w:hanging="360"/>
      </w:pPr>
      <w:rPr>
        <w:rFonts w:ascii="Symbol" w:hAnsi="Symbol" w:hint="default"/>
        <w:sz w:val="22"/>
        <w:szCs w:val="22"/>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4"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D925AC1"/>
    <w:multiLevelType w:val="hybridMultilevel"/>
    <w:tmpl w:val="F0860A88"/>
    <w:lvl w:ilvl="0" w:tplc="13EEF42C">
      <w:start w:val="2"/>
      <w:numFmt w:val="upperRoman"/>
      <w:lvlText w:val="%1."/>
      <w:lvlJc w:val="right"/>
      <w:pPr>
        <w:tabs>
          <w:tab w:val="num" w:pos="1080"/>
        </w:tabs>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EB265A2"/>
    <w:multiLevelType w:val="hybridMultilevel"/>
    <w:tmpl w:val="5ABE93E4"/>
    <w:lvl w:ilvl="0" w:tplc="FFE0BDD8">
      <w:start w:val="1"/>
      <w:numFmt w:val="decimal"/>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48722D7"/>
    <w:multiLevelType w:val="hybridMultilevel"/>
    <w:tmpl w:val="3B0CA3DC"/>
    <w:lvl w:ilvl="0" w:tplc="5128BA4C">
      <w:start w:val="1"/>
      <w:numFmt w:val="lowerLetter"/>
      <w:lvlText w:val="%1."/>
      <w:lvlJc w:val="left"/>
      <w:pPr>
        <w:ind w:left="720" w:hanging="360"/>
      </w:pPr>
      <w:rPr>
        <w:b/>
        <w:strike w:val="0"/>
        <w:sz w:val="24"/>
        <w:szCs w:val="24"/>
      </w:rPr>
    </w:lvl>
    <w:lvl w:ilvl="1" w:tplc="AC3888C8">
      <w:start w:val="1"/>
      <w:numFmt w:val="decimal"/>
      <w:lvlText w:val="%2."/>
      <w:lvlJc w:val="left"/>
      <w:pPr>
        <w:ind w:left="1440" w:hanging="360"/>
      </w:pPr>
      <w:rPr>
        <w:rFonts w:ascii="Arial" w:hAnsi="Arial" w:cs="Arial" w:hint="default"/>
        <w:b/>
        <w:i w:val="0"/>
        <w:color w:val="auto"/>
        <w:sz w:val="24"/>
        <w:szCs w:val="24"/>
      </w:rPr>
    </w:lvl>
    <w:lvl w:ilvl="2" w:tplc="140A001B">
      <w:start w:val="1"/>
      <w:numFmt w:val="lowerRoman"/>
      <w:lvlText w:val="%3."/>
      <w:lvlJc w:val="right"/>
      <w:pPr>
        <w:ind w:left="2160" w:hanging="180"/>
      </w:pPr>
      <w:rPr>
        <w:rFonts w:hint="default"/>
        <w:b w:val="0"/>
        <w:i w:val="0"/>
        <w:color w:val="auto"/>
        <w:sz w:val="24"/>
        <w:szCs w:val="24"/>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6230178"/>
    <w:multiLevelType w:val="hybridMultilevel"/>
    <w:tmpl w:val="F03E3D2C"/>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1" w15:restartNumberingAfterBreak="0">
    <w:nsid w:val="778A33F1"/>
    <w:multiLevelType w:val="hybridMultilevel"/>
    <w:tmpl w:val="550282CC"/>
    <w:lvl w:ilvl="0" w:tplc="5CFE105E">
      <w:start w:val="1"/>
      <w:numFmt w:val="decimal"/>
      <w:lvlText w:val="%1."/>
      <w:lvlJc w:val="left"/>
      <w:pPr>
        <w:ind w:left="786" w:hanging="360"/>
      </w:pPr>
      <w:rPr>
        <w:rFonts w:hint="default"/>
        <w:i/>
        <w:sz w:val="22"/>
        <w:szCs w:val="22"/>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2" w15:restartNumberingAfterBreak="0">
    <w:nsid w:val="79E92A68"/>
    <w:multiLevelType w:val="multilevel"/>
    <w:tmpl w:val="0D2A50CC"/>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7B111AF3"/>
    <w:multiLevelType w:val="hybridMultilevel"/>
    <w:tmpl w:val="13F87ADE"/>
    <w:lvl w:ilvl="0" w:tplc="0DB0958A">
      <w:start w:val="1"/>
      <w:numFmt w:val="decimal"/>
      <w:lvlText w:val="%1."/>
      <w:lvlJc w:val="lef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BEE382C"/>
    <w:multiLevelType w:val="hybridMultilevel"/>
    <w:tmpl w:val="8690D7B2"/>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5AA877A8">
      <w:start w:val="1"/>
      <w:numFmt w:val="lowerLetter"/>
      <w:lvlText w:val="%2."/>
      <w:lvlJc w:val="left"/>
      <w:pPr>
        <w:ind w:left="447" w:hanging="360"/>
      </w:pPr>
      <w:rPr>
        <w:b/>
      </w:r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5" w15:restartNumberingAfterBreak="0">
    <w:nsid w:val="7C300293"/>
    <w:multiLevelType w:val="hybridMultilevel"/>
    <w:tmpl w:val="D7E04F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39"/>
  </w:num>
  <w:num w:numId="3">
    <w:abstractNumId w:val="26"/>
  </w:num>
  <w:num w:numId="4">
    <w:abstractNumId w:val="2"/>
  </w:num>
  <w:num w:numId="5">
    <w:abstractNumId w:val="13"/>
  </w:num>
  <w:num w:numId="6">
    <w:abstractNumId w:val="30"/>
  </w:num>
  <w:num w:numId="7">
    <w:abstractNumId w:val="15"/>
  </w:num>
  <w:num w:numId="8">
    <w:abstractNumId w:val="8"/>
  </w:num>
  <w:num w:numId="9">
    <w:abstractNumId w:val="22"/>
  </w:num>
  <w:num w:numId="10">
    <w:abstractNumId w:val="11"/>
  </w:num>
  <w:num w:numId="11">
    <w:abstractNumId w:val="31"/>
  </w:num>
  <w:num w:numId="12">
    <w:abstractNumId w:val="35"/>
  </w:num>
  <w:num w:numId="13">
    <w:abstractNumId w:val="21"/>
  </w:num>
  <w:num w:numId="14">
    <w:abstractNumId w:val="29"/>
  </w:num>
  <w:num w:numId="15">
    <w:abstractNumId w:val="0"/>
  </w:num>
  <w:num w:numId="16">
    <w:abstractNumId w:val="12"/>
  </w:num>
  <w:num w:numId="17">
    <w:abstractNumId w:val="10"/>
  </w:num>
  <w:num w:numId="18">
    <w:abstractNumId w:val="34"/>
  </w:num>
  <w:num w:numId="19">
    <w:abstractNumId w:val="23"/>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3"/>
  </w:num>
  <w:num w:numId="26">
    <w:abstractNumId w:val="24"/>
  </w:num>
  <w:num w:numId="27">
    <w:abstractNumId w:val="25"/>
  </w:num>
  <w:num w:numId="28">
    <w:abstractNumId w:val="18"/>
  </w:num>
  <w:num w:numId="29">
    <w:abstractNumId w:val="41"/>
  </w:num>
  <w:num w:numId="30">
    <w:abstractNumId w:val="5"/>
  </w:num>
  <w:num w:numId="31">
    <w:abstractNumId w:val="28"/>
  </w:num>
  <w:num w:numId="32">
    <w:abstractNumId w:val="17"/>
  </w:num>
  <w:num w:numId="33">
    <w:abstractNumId w:val="20"/>
  </w:num>
  <w:num w:numId="34">
    <w:abstractNumId w:val="36"/>
  </w:num>
  <w:num w:numId="35">
    <w:abstractNumId w:val="38"/>
  </w:num>
  <w:num w:numId="36">
    <w:abstractNumId w:val="45"/>
  </w:num>
  <w:num w:numId="37">
    <w:abstractNumId w:val="42"/>
  </w:num>
  <w:num w:numId="38">
    <w:abstractNumId w:val="1"/>
  </w:num>
  <w:num w:numId="39">
    <w:abstractNumId w:val="9"/>
  </w:num>
  <w:num w:numId="40">
    <w:abstractNumId w:val="37"/>
  </w:num>
  <w:num w:numId="41">
    <w:abstractNumId w:val="7"/>
  </w:num>
  <w:num w:numId="42">
    <w:abstractNumId w:val="19"/>
  </w:num>
  <w:num w:numId="43">
    <w:abstractNumId w:val="4"/>
  </w:num>
  <w:num w:numId="44">
    <w:abstractNumId w:val="40"/>
  </w:num>
  <w:num w:numId="45">
    <w:abstractNumId w:val="14"/>
  </w:num>
  <w:num w:numId="46">
    <w:abstractNumId w:val="43"/>
  </w:num>
  <w:num w:numId="47">
    <w:abstractNumId w:val="16"/>
  </w:num>
  <w:num w:numId="48">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C7AFF"/>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5F79E5"/>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01FA"/>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32C33"/>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6368"/>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1671F"/>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styleId="Subttulo">
    <w:name w:val="Subtitle"/>
    <w:basedOn w:val="Normal"/>
    <w:link w:val="SubttuloCar"/>
    <w:qFormat/>
    <w:rsid w:val="00932C33"/>
    <w:pPr>
      <w:numPr>
        <w:numId w:val="45"/>
      </w:numPr>
      <w:jc w:val="center"/>
    </w:pPr>
    <w:rPr>
      <w:b/>
      <w:bCs/>
      <w:color w:val="003300"/>
      <w:sz w:val="32"/>
    </w:rPr>
  </w:style>
  <w:style w:type="character" w:customStyle="1" w:styleId="SubttuloCar">
    <w:name w:val="Subtítulo Car"/>
    <w:basedOn w:val="Fuentedeprrafopredeter"/>
    <w:link w:val="Subttulo"/>
    <w:rsid w:val="00932C33"/>
    <w:rPr>
      <w:b/>
      <w:bCs/>
      <w:color w:val="003300"/>
      <w:sz w:val="3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1EA3E-A15A-4A28-B04B-DB31408C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1093</Words>
  <Characters>6016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24</cp:revision>
  <cp:lastPrinted>2018-06-13T20:00:00Z</cp:lastPrinted>
  <dcterms:created xsi:type="dcterms:W3CDTF">2018-05-02T21:37:00Z</dcterms:created>
  <dcterms:modified xsi:type="dcterms:W3CDTF">2018-06-27T22:56:00Z</dcterms:modified>
</cp:coreProperties>
</file>