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F5AF3">
        <w:rPr>
          <w:rFonts w:ascii="Arial" w:hAnsi="Arial" w:cs="Arial"/>
          <w:b/>
          <w:bCs/>
          <w:iCs/>
          <w:sz w:val="26"/>
          <w:szCs w:val="22"/>
          <w:lang w:val="es-CR"/>
        </w:rPr>
        <w:t>-</w:t>
      </w:r>
      <w:r w:rsidR="000140C9">
        <w:rPr>
          <w:rFonts w:ascii="Arial" w:hAnsi="Arial" w:cs="Arial"/>
          <w:b/>
          <w:bCs/>
          <w:iCs/>
          <w:sz w:val="26"/>
          <w:szCs w:val="22"/>
          <w:lang w:val="es-CR"/>
        </w:rPr>
        <w:t>442</w:t>
      </w:r>
      <w:r w:rsidR="005F18E0">
        <w:rPr>
          <w:rFonts w:ascii="Arial" w:hAnsi="Arial" w:cs="Arial"/>
          <w:b/>
          <w:bCs/>
          <w:iCs/>
          <w:sz w:val="26"/>
          <w:szCs w:val="22"/>
          <w:lang w:val="es-CR"/>
        </w:rPr>
        <w:t>-</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253D00"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5D6B49" w:rsidRDefault="00685A6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EA6E92">
              <w:rPr>
                <w:rFonts w:ascii="Arial" w:eastAsia="Cambria" w:hAnsi="Arial" w:cs="Arial"/>
                <w:sz w:val="22"/>
                <w:szCs w:val="22"/>
                <w:lang w:val="es-ES_tradnl" w:eastAsia="en-US"/>
              </w:rPr>
              <w:t xml:space="preserve"> </w:t>
            </w:r>
          </w:p>
          <w:p w:rsidR="00253D00" w:rsidRPr="00A449FD" w:rsidRDefault="005D6B49" w:rsidP="000140C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000140C9">
              <w:rPr>
                <w:rFonts w:ascii="Arial" w:eastAsia="Cambria" w:hAnsi="Arial" w:cs="Arial"/>
                <w:sz w:val="22"/>
                <w:szCs w:val="22"/>
                <w:lang w:val="es-ES_tradnl" w:eastAsia="en-US"/>
              </w:rPr>
              <w:t>M.Sc</w:t>
            </w:r>
            <w:proofErr w:type="spellEnd"/>
            <w:r w:rsidR="000140C9">
              <w:rPr>
                <w:rFonts w:ascii="Arial" w:eastAsia="Cambria" w:hAnsi="Arial" w:cs="Arial"/>
                <w:sz w:val="22"/>
                <w:szCs w:val="22"/>
                <w:lang w:val="es-ES_tradnl" w:eastAsia="en-US"/>
              </w:rPr>
              <w:t>. Ingrid Herrera Jiménez, Presidente Tribunal Institucional Electoral</w:t>
            </w:r>
          </w:p>
        </w:tc>
      </w:tr>
      <w:tr w:rsidR="007742A1" w:rsidRPr="00D958BC" w:rsidTr="0073629D">
        <w:trPr>
          <w:trHeight w:val="632"/>
        </w:trPr>
        <w:tc>
          <w:tcPr>
            <w:tcW w:w="1394" w:type="dxa"/>
          </w:tcPr>
          <w:p w:rsidR="007742A1" w:rsidRPr="003C359A" w:rsidRDefault="00253D00"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p w:rsidR="00E65AB9" w:rsidRPr="00A449FD" w:rsidRDefault="00E65AB9" w:rsidP="00A87849">
            <w:pPr>
              <w:ind w:left="45"/>
              <w:jc w:val="both"/>
              <w:rPr>
                <w:rFonts w:ascii="Arial" w:eastAsia="Cambria" w:hAnsi="Arial" w:cs="Arial"/>
                <w:sz w:val="22"/>
                <w:szCs w:val="22"/>
                <w:lang w:val="es-ES_tradnl" w:eastAsia="en-US"/>
              </w:rPr>
            </w:pP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685A6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652D29">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E65AB9">
              <w:rPr>
                <w:rFonts w:ascii="Arial" w:eastAsia="Cambria" w:hAnsi="Arial" w:cs="Arial"/>
                <w:b/>
                <w:sz w:val="22"/>
                <w:szCs w:val="22"/>
                <w:lang w:val="es-ES_tradnl" w:eastAsia="en-US"/>
              </w:rPr>
              <w:t>junio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F5AF3"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AF5AF3" w:rsidRDefault="007742A1" w:rsidP="00685A65">
            <w:pPr>
              <w:autoSpaceDE w:val="0"/>
              <w:autoSpaceDN w:val="0"/>
              <w:adjustRightInd w:val="0"/>
              <w:jc w:val="both"/>
              <w:rPr>
                <w:rFonts w:ascii="Arial" w:eastAsia="Calibri" w:hAnsi="Arial" w:cs="Arial"/>
                <w:b/>
                <w:bCs/>
                <w:color w:val="000000"/>
                <w:sz w:val="22"/>
                <w:szCs w:val="22"/>
                <w:lang w:val="es-CR" w:eastAsia="en-US"/>
              </w:rPr>
            </w:pPr>
            <w:r w:rsidRPr="00AF5AF3">
              <w:rPr>
                <w:rFonts w:ascii="Arial" w:eastAsia="Calibri" w:hAnsi="Arial" w:cs="Arial"/>
                <w:b/>
                <w:sz w:val="22"/>
                <w:szCs w:val="22"/>
              </w:rPr>
              <w:t xml:space="preserve">Sesión Ordinaria No. </w:t>
            </w:r>
            <w:r w:rsidR="00337455" w:rsidRPr="00AF5AF3">
              <w:rPr>
                <w:rFonts w:ascii="Arial" w:eastAsia="Calibri" w:hAnsi="Arial" w:cs="Arial"/>
                <w:b/>
                <w:sz w:val="22"/>
                <w:szCs w:val="22"/>
              </w:rPr>
              <w:t>30</w:t>
            </w:r>
            <w:r w:rsidR="00B64B23" w:rsidRPr="00AF5AF3">
              <w:rPr>
                <w:rFonts w:ascii="Arial" w:eastAsia="Calibri" w:hAnsi="Arial" w:cs="Arial"/>
                <w:b/>
                <w:sz w:val="22"/>
                <w:szCs w:val="22"/>
              </w:rPr>
              <w:t>7</w:t>
            </w:r>
            <w:r w:rsidR="00685A65">
              <w:rPr>
                <w:rFonts w:ascii="Arial" w:eastAsia="Calibri" w:hAnsi="Arial" w:cs="Arial"/>
                <w:b/>
                <w:sz w:val="22"/>
                <w:szCs w:val="22"/>
              </w:rPr>
              <w:t>7</w:t>
            </w:r>
            <w:r w:rsidRPr="00AF5AF3">
              <w:rPr>
                <w:rFonts w:ascii="Arial" w:eastAsia="Calibri" w:hAnsi="Arial" w:cs="Arial"/>
                <w:b/>
                <w:sz w:val="22"/>
                <w:szCs w:val="22"/>
              </w:rPr>
              <w:t>, Artículo</w:t>
            </w:r>
            <w:r w:rsidR="00925985" w:rsidRPr="00AF5AF3">
              <w:rPr>
                <w:rFonts w:ascii="Arial" w:eastAsia="Calibri" w:hAnsi="Arial" w:cs="Arial"/>
                <w:b/>
                <w:sz w:val="22"/>
                <w:szCs w:val="22"/>
              </w:rPr>
              <w:t xml:space="preserve"> </w:t>
            </w:r>
            <w:r w:rsidR="00E65AB9" w:rsidRPr="00AF5AF3">
              <w:rPr>
                <w:rFonts w:ascii="Arial" w:eastAsia="Calibri" w:hAnsi="Arial" w:cs="Arial"/>
                <w:b/>
                <w:sz w:val="22"/>
                <w:szCs w:val="22"/>
              </w:rPr>
              <w:t>7</w:t>
            </w:r>
            <w:r w:rsidR="00FF3C43" w:rsidRPr="00AF5AF3">
              <w:rPr>
                <w:rFonts w:ascii="Arial" w:eastAsia="Calibri" w:hAnsi="Arial" w:cs="Arial"/>
                <w:b/>
                <w:sz w:val="22"/>
                <w:szCs w:val="22"/>
              </w:rPr>
              <w:t>,</w:t>
            </w:r>
            <w:r w:rsidRPr="00AF5AF3">
              <w:rPr>
                <w:rFonts w:ascii="Arial" w:eastAsia="Calibri" w:hAnsi="Arial" w:cs="Arial"/>
                <w:b/>
                <w:sz w:val="22"/>
                <w:szCs w:val="22"/>
              </w:rPr>
              <w:t xml:space="preserve"> del </w:t>
            </w:r>
            <w:r w:rsidR="00685A65">
              <w:rPr>
                <w:rFonts w:ascii="Arial" w:eastAsia="Calibri" w:hAnsi="Arial" w:cs="Arial"/>
                <w:b/>
                <w:sz w:val="22"/>
                <w:szCs w:val="22"/>
              </w:rPr>
              <w:t>20</w:t>
            </w:r>
            <w:r w:rsidR="00925985" w:rsidRPr="00AF5AF3">
              <w:rPr>
                <w:rFonts w:ascii="Arial" w:eastAsia="Calibri" w:hAnsi="Arial" w:cs="Arial"/>
                <w:b/>
                <w:sz w:val="22"/>
                <w:szCs w:val="22"/>
              </w:rPr>
              <w:t xml:space="preserve"> de </w:t>
            </w:r>
            <w:r w:rsidR="00E65AB9" w:rsidRPr="00AF5AF3">
              <w:rPr>
                <w:rFonts w:ascii="Arial" w:eastAsia="Calibri" w:hAnsi="Arial" w:cs="Arial"/>
                <w:b/>
                <w:sz w:val="22"/>
                <w:szCs w:val="22"/>
              </w:rPr>
              <w:t>junio</w:t>
            </w:r>
            <w:r w:rsidR="00925985" w:rsidRPr="00AF5AF3">
              <w:rPr>
                <w:rFonts w:ascii="Arial" w:eastAsia="Calibri" w:hAnsi="Arial" w:cs="Arial"/>
                <w:b/>
                <w:sz w:val="22"/>
                <w:szCs w:val="22"/>
              </w:rPr>
              <w:t xml:space="preserve"> </w:t>
            </w:r>
            <w:r w:rsidR="00A772EF" w:rsidRPr="00AF5AF3">
              <w:rPr>
                <w:rFonts w:ascii="Arial" w:eastAsia="Calibri" w:hAnsi="Arial" w:cs="Arial"/>
                <w:b/>
                <w:sz w:val="22"/>
                <w:szCs w:val="22"/>
              </w:rPr>
              <w:t>de 201</w:t>
            </w:r>
            <w:r w:rsidR="003B6DC0" w:rsidRPr="00AF5AF3">
              <w:rPr>
                <w:rFonts w:ascii="Arial" w:eastAsia="Calibri" w:hAnsi="Arial" w:cs="Arial"/>
                <w:b/>
                <w:sz w:val="22"/>
                <w:szCs w:val="22"/>
              </w:rPr>
              <w:t>8</w:t>
            </w:r>
            <w:r w:rsidR="00925985" w:rsidRPr="00AF5AF3">
              <w:rPr>
                <w:rFonts w:ascii="Arial" w:eastAsia="Calibri" w:hAnsi="Arial" w:cs="Arial"/>
                <w:b/>
                <w:sz w:val="22"/>
                <w:szCs w:val="22"/>
              </w:rPr>
              <w:t xml:space="preserve">.  </w:t>
            </w:r>
            <w:r w:rsidR="00685A65" w:rsidRPr="00685A65">
              <w:rPr>
                <w:rFonts w:ascii="Arial" w:eastAsia="Cambria" w:hAnsi="Arial" w:cs="Arial"/>
                <w:b/>
                <w:bCs/>
                <w:sz w:val="22"/>
                <w:szCs w:val="22"/>
                <w:lang w:val="es-CR" w:eastAsia="en-US"/>
              </w:rPr>
              <w:t>Respuesta al oficio TIE-325-2018, sobre las coordinaciones de las unidades adscritas a las Vicerrectorías que se eligen por Asamblea Plebiscitarias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140C9" w:rsidRDefault="000140C9" w:rsidP="007742A1">
      <w:pPr>
        <w:jc w:val="both"/>
        <w:rPr>
          <w:rFonts w:ascii="Arial" w:eastAsia="Cambria" w:hAnsi="Arial" w:cs="Arial"/>
          <w:lang w:val="es-ES_tradnl" w:eastAsia="en-US"/>
        </w:rPr>
      </w:pPr>
    </w:p>
    <w:p w:rsidR="000140C9" w:rsidRPr="00753424" w:rsidRDefault="000140C9" w:rsidP="000140C9">
      <w:pPr>
        <w:jc w:val="both"/>
        <w:rPr>
          <w:rFonts w:ascii="Arial" w:eastAsia="Calibri" w:hAnsi="Arial" w:cs="Arial"/>
          <w:b/>
          <w:bCs/>
          <w:lang w:val="es-CR" w:eastAsia="en-US"/>
        </w:rPr>
      </w:pPr>
      <w:r w:rsidRPr="00753424">
        <w:rPr>
          <w:rFonts w:ascii="Arial" w:eastAsia="Calibri" w:hAnsi="Arial" w:cs="Arial"/>
          <w:b/>
          <w:bCs/>
          <w:lang w:val="es-CR" w:eastAsia="en-US"/>
        </w:rPr>
        <w:t>RESULTANDO QUE:</w:t>
      </w:r>
    </w:p>
    <w:p w:rsidR="000140C9" w:rsidRPr="00753424" w:rsidRDefault="000140C9" w:rsidP="000140C9">
      <w:pPr>
        <w:ind w:left="1320" w:hanging="1320"/>
        <w:jc w:val="both"/>
        <w:rPr>
          <w:rFonts w:ascii="Arial" w:hAnsi="Arial" w:cs="Arial"/>
        </w:rPr>
      </w:pPr>
    </w:p>
    <w:p w:rsidR="000140C9" w:rsidRPr="00753424" w:rsidRDefault="000140C9" w:rsidP="000140C9">
      <w:pPr>
        <w:pStyle w:val="NormalWeb"/>
        <w:numPr>
          <w:ilvl w:val="0"/>
          <w:numId w:val="16"/>
        </w:numPr>
        <w:spacing w:before="0" w:beforeAutospacing="0" w:after="0" w:afterAutospacing="0"/>
        <w:ind w:left="357" w:hanging="357"/>
        <w:jc w:val="both"/>
        <w:rPr>
          <w:rFonts w:ascii="Arial" w:hAnsi="Arial" w:cs="Arial"/>
          <w:i/>
          <w:sz w:val="20"/>
          <w:szCs w:val="20"/>
        </w:rPr>
      </w:pPr>
      <w:r w:rsidRPr="00753424">
        <w:rPr>
          <w:rFonts w:ascii="Arial" w:eastAsia="Calibri" w:hAnsi="Arial" w:cs="Arial"/>
        </w:rPr>
        <w:t>Mediante el oficio TIE-325-2018</w:t>
      </w:r>
      <w:r>
        <w:rPr>
          <w:rFonts w:ascii="Arial" w:eastAsia="Calibri" w:hAnsi="Arial" w:cs="Arial"/>
        </w:rPr>
        <w:t>,</w:t>
      </w:r>
      <w:r w:rsidRPr="00753424">
        <w:rPr>
          <w:rFonts w:ascii="Arial" w:eastAsia="Calibri" w:hAnsi="Arial" w:cs="Arial"/>
        </w:rPr>
        <w:t xml:space="preserve"> el Tribunal Institucional Electoral</w:t>
      </w:r>
      <w:r>
        <w:rPr>
          <w:rFonts w:ascii="Arial" w:eastAsia="Calibri" w:hAnsi="Arial" w:cs="Arial"/>
        </w:rPr>
        <w:t>,</w:t>
      </w:r>
      <w:r w:rsidRPr="00753424">
        <w:rPr>
          <w:rFonts w:ascii="Arial" w:eastAsia="Calibri" w:hAnsi="Arial" w:cs="Arial"/>
        </w:rPr>
        <w:t xml:space="preserve"> planteó las siguientes consultas:</w:t>
      </w:r>
    </w:p>
    <w:p w:rsidR="000140C9" w:rsidRPr="00753424" w:rsidRDefault="000140C9" w:rsidP="000140C9">
      <w:pPr>
        <w:pStyle w:val="NormalWeb"/>
        <w:spacing w:before="0" w:beforeAutospacing="0" w:after="0" w:afterAutospacing="0"/>
        <w:jc w:val="both"/>
        <w:rPr>
          <w:rFonts w:ascii="Arial" w:eastAsia="Calibri" w:hAnsi="Arial" w:cs="Arial"/>
        </w:rPr>
      </w:pPr>
    </w:p>
    <w:p w:rsidR="000140C9" w:rsidRPr="00456E65" w:rsidRDefault="000140C9" w:rsidP="000140C9">
      <w:pPr>
        <w:pStyle w:val="Prrafodelista"/>
        <w:numPr>
          <w:ilvl w:val="0"/>
          <w:numId w:val="18"/>
        </w:numPr>
        <w:ind w:right="142"/>
        <w:contextualSpacing/>
        <w:jc w:val="both"/>
        <w:rPr>
          <w:rFonts w:ascii="Arial" w:hAnsi="Arial" w:cs="Arial"/>
          <w:i/>
          <w:sz w:val="22"/>
          <w:szCs w:val="22"/>
          <w:lang w:val="es-CR" w:eastAsia="en-US"/>
        </w:rPr>
      </w:pPr>
      <w:r w:rsidRPr="00456E65">
        <w:rPr>
          <w:rFonts w:ascii="Arial" w:hAnsi="Arial" w:cs="Arial"/>
          <w:i/>
          <w:sz w:val="22"/>
          <w:szCs w:val="22"/>
        </w:rPr>
        <w:t>“¿Los puestos de coordinación de las unidades adscritas a la vicerrectoría deben ser elegidas por medio de Asamblea Plebiscitaria por ejemplo la coordinación de la Unidad de Gestión Ambiental y Seguridad Laboral GASEL; y la coordinación de la Unidad de TEC digital?</w:t>
      </w:r>
    </w:p>
    <w:p w:rsidR="000140C9" w:rsidRPr="00456E65" w:rsidRDefault="000140C9" w:rsidP="000140C9">
      <w:pPr>
        <w:pStyle w:val="Prrafodelista"/>
        <w:numPr>
          <w:ilvl w:val="0"/>
          <w:numId w:val="18"/>
        </w:numPr>
        <w:ind w:right="142"/>
        <w:contextualSpacing/>
        <w:jc w:val="both"/>
        <w:rPr>
          <w:rFonts w:ascii="Arial" w:hAnsi="Arial" w:cs="Arial"/>
          <w:i/>
          <w:sz w:val="22"/>
          <w:szCs w:val="22"/>
        </w:rPr>
      </w:pPr>
      <w:r w:rsidRPr="00456E65">
        <w:rPr>
          <w:rFonts w:ascii="Arial" w:hAnsi="Arial" w:cs="Arial"/>
          <w:i/>
          <w:sz w:val="22"/>
          <w:szCs w:val="22"/>
        </w:rPr>
        <w:t>Si no deben ser elegidas por medio de Asambleas Plebiscitarias ¿quién debe nombrar los puestos de coordinación de dichas unidades?</w:t>
      </w:r>
    </w:p>
    <w:p w:rsidR="000140C9" w:rsidRPr="00456E65" w:rsidRDefault="000140C9" w:rsidP="000140C9">
      <w:pPr>
        <w:pStyle w:val="Prrafodelista"/>
        <w:numPr>
          <w:ilvl w:val="0"/>
          <w:numId w:val="18"/>
        </w:numPr>
        <w:ind w:right="142"/>
        <w:contextualSpacing/>
        <w:jc w:val="both"/>
        <w:rPr>
          <w:rFonts w:ascii="Arial" w:hAnsi="Arial" w:cs="Arial"/>
          <w:i/>
          <w:sz w:val="22"/>
          <w:szCs w:val="22"/>
        </w:rPr>
      </w:pPr>
      <w:r w:rsidRPr="00456E65">
        <w:rPr>
          <w:rFonts w:ascii="Arial" w:hAnsi="Arial" w:cs="Arial"/>
          <w:i/>
          <w:sz w:val="22"/>
          <w:szCs w:val="22"/>
        </w:rPr>
        <w:t>Además de las dos coordinaciones precitadas, ¿existen otras unidades adscritas a vicerrectorías?, de ser así ¿cuáles son?</w:t>
      </w:r>
      <w:r>
        <w:rPr>
          <w:rFonts w:ascii="Arial" w:hAnsi="Arial" w:cs="Arial"/>
          <w:i/>
          <w:sz w:val="22"/>
          <w:szCs w:val="22"/>
        </w:rPr>
        <w:t>”</w:t>
      </w:r>
    </w:p>
    <w:p w:rsidR="000140C9" w:rsidRPr="00753424" w:rsidRDefault="000140C9" w:rsidP="000140C9">
      <w:pPr>
        <w:pStyle w:val="NormalWeb"/>
        <w:spacing w:before="0" w:beforeAutospacing="0" w:after="0" w:afterAutospacing="0"/>
        <w:jc w:val="both"/>
        <w:rPr>
          <w:rFonts w:ascii="Arial" w:hAnsi="Arial" w:cs="Arial"/>
          <w:i/>
          <w:sz w:val="20"/>
          <w:szCs w:val="20"/>
          <w:lang w:val="es-ES"/>
        </w:rPr>
      </w:pPr>
    </w:p>
    <w:p w:rsidR="000140C9" w:rsidRPr="00753424" w:rsidRDefault="000140C9" w:rsidP="000140C9">
      <w:pPr>
        <w:pStyle w:val="NormalWeb"/>
        <w:numPr>
          <w:ilvl w:val="0"/>
          <w:numId w:val="16"/>
        </w:numPr>
        <w:spacing w:before="0" w:beforeAutospacing="0" w:after="0" w:afterAutospacing="0"/>
        <w:ind w:left="357" w:hanging="357"/>
        <w:jc w:val="both"/>
        <w:rPr>
          <w:rFonts w:ascii="Arial" w:eastAsia="Calibri" w:hAnsi="Arial" w:cs="Arial"/>
          <w:lang w:eastAsia="en-US"/>
        </w:rPr>
      </w:pPr>
      <w:r w:rsidRPr="00753424">
        <w:rPr>
          <w:rFonts w:ascii="Arial" w:eastAsia="Calibri" w:hAnsi="Arial" w:cs="Arial"/>
          <w:lang w:eastAsia="en-US"/>
        </w:rPr>
        <w:t xml:space="preserve">La Comisión de Estatuto Orgánico solicitó opinión jurídica, mediante el oficio </w:t>
      </w:r>
      <w:r w:rsidRPr="00753424">
        <w:rPr>
          <w:rFonts w:ascii="Arial" w:hAnsi="Arial" w:cs="Arial"/>
        </w:rPr>
        <w:t>SCI-361-2018, a la Oficina de Asesoría Legal</w:t>
      </w:r>
      <w:r>
        <w:rPr>
          <w:rFonts w:ascii="Arial" w:hAnsi="Arial" w:cs="Arial"/>
        </w:rPr>
        <w:t>,</w:t>
      </w:r>
      <w:r w:rsidRPr="00753424">
        <w:rPr>
          <w:rFonts w:ascii="Arial" w:hAnsi="Arial" w:cs="Arial"/>
        </w:rPr>
        <w:t xml:space="preserve"> sobre las consultas del </w:t>
      </w:r>
      <w:r w:rsidRPr="00753424">
        <w:rPr>
          <w:rFonts w:ascii="Arial" w:eastAsia="Calibri" w:hAnsi="Arial" w:cs="Arial"/>
        </w:rPr>
        <w:t>oficio TIE-325-2018.</w:t>
      </w:r>
    </w:p>
    <w:p w:rsidR="000140C9" w:rsidRPr="00753424" w:rsidRDefault="000140C9" w:rsidP="000140C9">
      <w:pPr>
        <w:pStyle w:val="NormalWeb"/>
        <w:spacing w:before="0" w:beforeAutospacing="0" w:after="0" w:afterAutospacing="0"/>
        <w:jc w:val="both"/>
        <w:rPr>
          <w:rFonts w:ascii="Arial" w:eastAsia="Calibri" w:hAnsi="Arial" w:cs="Arial"/>
        </w:rPr>
      </w:pPr>
    </w:p>
    <w:p w:rsidR="000140C9" w:rsidRPr="00753424" w:rsidRDefault="000140C9" w:rsidP="000140C9">
      <w:pPr>
        <w:pStyle w:val="NormalWeb"/>
        <w:numPr>
          <w:ilvl w:val="0"/>
          <w:numId w:val="16"/>
        </w:numPr>
        <w:spacing w:before="0" w:beforeAutospacing="0" w:after="0" w:afterAutospacing="0"/>
        <w:ind w:left="357" w:hanging="357"/>
        <w:jc w:val="both"/>
        <w:rPr>
          <w:rFonts w:ascii="Arial" w:eastAsia="Calibri" w:hAnsi="Arial" w:cs="Arial"/>
          <w:lang w:eastAsia="en-US"/>
        </w:rPr>
      </w:pPr>
      <w:r w:rsidRPr="00753424">
        <w:rPr>
          <w:rFonts w:ascii="Arial" w:eastAsia="Calibri" w:hAnsi="Arial" w:cs="Arial"/>
          <w:lang w:eastAsia="en-US"/>
        </w:rPr>
        <w:t>La Oficina de Asesoría Legal respondió el oficio SCI-361-2018 mediante el memorando Asesoría Legal-279-2018 del 06 de junio de 2018, en los siguientes términos:</w:t>
      </w:r>
    </w:p>
    <w:p w:rsidR="000140C9" w:rsidRPr="00753424" w:rsidRDefault="000140C9" w:rsidP="000140C9">
      <w:pPr>
        <w:pStyle w:val="Prrafodelista"/>
        <w:rPr>
          <w:rFonts w:ascii="Arial" w:eastAsia="Calibri" w:hAnsi="Arial" w:cs="Arial"/>
          <w:lang w:eastAsia="en-US"/>
        </w:rPr>
      </w:pPr>
    </w:p>
    <w:p w:rsidR="000140C9" w:rsidRPr="00D8589C" w:rsidRDefault="000140C9" w:rsidP="000140C9">
      <w:pPr>
        <w:pStyle w:val="Prrafodelista"/>
        <w:numPr>
          <w:ilvl w:val="0"/>
          <w:numId w:val="19"/>
        </w:numPr>
        <w:ind w:left="709" w:right="281" w:firstLine="0"/>
        <w:contextualSpacing/>
        <w:jc w:val="both"/>
        <w:rPr>
          <w:rFonts w:ascii="Arial" w:hAnsi="Arial" w:cs="Arial"/>
          <w:b/>
          <w:i/>
          <w:sz w:val="22"/>
          <w:szCs w:val="22"/>
          <w:lang w:val="es-CR" w:eastAsia="en-US"/>
        </w:rPr>
      </w:pPr>
      <w:r w:rsidRPr="00D8589C">
        <w:rPr>
          <w:rFonts w:ascii="Arial" w:hAnsi="Arial" w:cs="Arial"/>
          <w:b/>
          <w:i/>
          <w:sz w:val="22"/>
          <w:szCs w:val="22"/>
        </w:rPr>
        <w:t>“Análisis</w:t>
      </w:r>
    </w:p>
    <w:p w:rsidR="000140C9" w:rsidRPr="00D8589C" w:rsidRDefault="000140C9" w:rsidP="000140C9">
      <w:pPr>
        <w:pStyle w:val="Prrafodelista"/>
        <w:ind w:left="709" w:right="281"/>
        <w:jc w:val="both"/>
        <w:rPr>
          <w:rFonts w:ascii="Arial" w:hAnsi="Arial" w:cs="Arial"/>
          <w:b/>
          <w:i/>
          <w:sz w:val="22"/>
          <w:szCs w:val="22"/>
        </w:rPr>
      </w:pPr>
    </w:p>
    <w:p w:rsidR="000140C9" w:rsidRPr="00D8589C" w:rsidRDefault="000140C9" w:rsidP="000140C9">
      <w:pPr>
        <w:pStyle w:val="Prrafodelista"/>
        <w:ind w:left="709" w:right="281"/>
        <w:jc w:val="both"/>
        <w:rPr>
          <w:rFonts w:ascii="Arial" w:hAnsi="Arial" w:cs="Arial"/>
          <w:i/>
          <w:sz w:val="22"/>
          <w:szCs w:val="22"/>
        </w:rPr>
      </w:pPr>
      <w:r w:rsidRPr="00D8589C">
        <w:rPr>
          <w:rFonts w:ascii="Arial" w:hAnsi="Arial" w:cs="Arial"/>
          <w:i/>
          <w:sz w:val="22"/>
          <w:szCs w:val="22"/>
        </w:rPr>
        <w:t>Primera consulta: Los puestos de coordinación de las unidades adscritas a la vicerrectoría deben ser elegidas por medio de Asamblea Plebiscitaria por ejemplo la coordinación de la Unidad de Gestión Ambiental y Seguridad Laboral GASEL; ¿y la coordinación de la Unidad de TEC digital?</w:t>
      </w:r>
    </w:p>
    <w:p w:rsidR="000140C9" w:rsidRPr="00D8589C" w:rsidRDefault="000140C9" w:rsidP="000140C9">
      <w:pPr>
        <w:pStyle w:val="Prrafodelista"/>
        <w:ind w:left="709" w:right="281"/>
        <w:jc w:val="both"/>
        <w:rPr>
          <w:rFonts w:ascii="Arial" w:hAnsi="Arial" w:cs="Arial"/>
          <w:b/>
          <w:i/>
          <w:sz w:val="22"/>
          <w:szCs w:val="22"/>
        </w:rPr>
      </w:pPr>
    </w:p>
    <w:p w:rsidR="000140C9" w:rsidRPr="00D8589C" w:rsidRDefault="000140C9" w:rsidP="000140C9">
      <w:pPr>
        <w:pStyle w:val="Prrafodelista"/>
        <w:ind w:left="709" w:right="281"/>
        <w:jc w:val="both"/>
        <w:rPr>
          <w:rFonts w:ascii="Arial" w:hAnsi="Arial" w:cs="Arial"/>
          <w:b/>
          <w:i/>
          <w:sz w:val="22"/>
          <w:szCs w:val="22"/>
        </w:rPr>
      </w:pPr>
      <w:r w:rsidRPr="00D8589C">
        <w:rPr>
          <w:rFonts w:ascii="Arial" w:hAnsi="Arial" w:cs="Arial"/>
          <w:b/>
          <w:i/>
          <w:sz w:val="22"/>
          <w:szCs w:val="22"/>
        </w:rPr>
        <w:t>Estatuto Orgánico</w:t>
      </w:r>
    </w:p>
    <w:p w:rsidR="000140C9" w:rsidRPr="00D8589C" w:rsidRDefault="000140C9" w:rsidP="000140C9">
      <w:pPr>
        <w:ind w:left="709" w:right="281"/>
        <w:jc w:val="both"/>
        <w:rPr>
          <w:rFonts w:ascii="Arial" w:hAnsi="Arial" w:cs="Arial"/>
          <w:i/>
          <w:sz w:val="22"/>
          <w:szCs w:val="22"/>
          <w:lang w:eastAsia="es-CR"/>
        </w:rPr>
      </w:pPr>
      <w:r w:rsidRPr="00D8589C">
        <w:rPr>
          <w:rFonts w:ascii="Arial" w:hAnsi="Arial" w:cs="Arial"/>
          <w:i/>
          <w:sz w:val="22"/>
          <w:szCs w:val="22"/>
          <w:lang w:eastAsia="es-CR"/>
        </w:rPr>
        <w:t xml:space="preserve">ARTÍCULO 53 (BIS) </w:t>
      </w:r>
    </w:p>
    <w:p w:rsidR="000140C9" w:rsidRPr="00D8589C" w:rsidRDefault="000140C9" w:rsidP="000140C9">
      <w:pPr>
        <w:ind w:left="709" w:right="281"/>
        <w:jc w:val="both"/>
        <w:rPr>
          <w:rFonts w:ascii="Arial" w:hAnsi="Arial" w:cs="Arial"/>
          <w:i/>
          <w:sz w:val="22"/>
          <w:szCs w:val="22"/>
          <w:lang w:eastAsia="es-CR"/>
        </w:rPr>
      </w:pPr>
      <w:r w:rsidRPr="00D8589C">
        <w:rPr>
          <w:rFonts w:ascii="Arial" w:hAnsi="Arial" w:cs="Arial"/>
          <w:i/>
          <w:sz w:val="22"/>
          <w:szCs w:val="22"/>
          <w:lang w:eastAsia="es-CR"/>
        </w:rPr>
        <w:t>Quedan exceptuadas de elección por medio de la Asamblea Plebiscitaria, las personas que ejerzan la dirección o coordinación de las siguientes dependencias o de sus unidades</w:t>
      </w:r>
      <w:r w:rsidRPr="00D8589C">
        <w:rPr>
          <w:rFonts w:ascii="Arial" w:hAnsi="Arial" w:cs="Arial"/>
          <w:b/>
          <w:i/>
          <w:sz w:val="22"/>
          <w:szCs w:val="22"/>
          <w:lang w:eastAsia="es-CR"/>
        </w:rPr>
        <w:t xml:space="preserve">: Oficina de Planificación Institucional, Oficina de Comunicación y Mercadeo, Secretaría del Consejo Institucional, Auditoría Interna, Asesoría Legal, Oficina de Ingeniería, Dirección de Proyectos, </w:t>
      </w:r>
      <w:r w:rsidRPr="00D8589C">
        <w:rPr>
          <w:rFonts w:ascii="Arial" w:hAnsi="Arial" w:cs="Arial"/>
          <w:b/>
          <w:i/>
          <w:sz w:val="22"/>
          <w:szCs w:val="22"/>
          <w:lang w:eastAsia="es-CR"/>
        </w:rPr>
        <w:lastRenderedPageBreak/>
        <w:t>Dirección de Cooperación y Dirección de Posgrado de la Vicerrectoría de Investigación y Extensión.</w:t>
      </w:r>
      <w:r w:rsidRPr="00D8589C">
        <w:rPr>
          <w:rFonts w:ascii="Arial" w:hAnsi="Arial" w:cs="Arial"/>
          <w:i/>
          <w:sz w:val="22"/>
          <w:szCs w:val="22"/>
          <w:lang w:eastAsia="es-CR"/>
        </w:rPr>
        <w:t xml:space="preserve"> </w:t>
      </w:r>
      <w:r w:rsidRPr="00D8589C">
        <w:rPr>
          <w:rFonts w:ascii="Arial" w:hAnsi="Arial" w:cs="Arial"/>
          <w:i/>
          <w:sz w:val="22"/>
          <w:szCs w:val="22"/>
        </w:rPr>
        <w:t>(El destacado es propio).</w:t>
      </w:r>
    </w:p>
    <w:p w:rsidR="000140C9" w:rsidRPr="00D8589C" w:rsidRDefault="000140C9" w:rsidP="000140C9">
      <w:pPr>
        <w:ind w:left="709" w:right="281"/>
        <w:jc w:val="both"/>
        <w:rPr>
          <w:rFonts w:ascii="Arial" w:hAnsi="Arial" w:cs="Arial"/>
          <w:i/>
          <w:sz w:val="22"/>
          <w:szCs w:val="22"/>
          <w:lang w:eastAsia="es-CR"/>
        </w:rPr>
      </w:pPr>
      <w:r w:rsidRPr="00D8589C">
        <w:rPr>
          <w:rFonts w:ascii="Arial" w:hAnsi="Arial" w:cs="Arial"/>
          <w:i/>
          <w:sz w:val="22"/>
          <w:szCs w:val="22"/>
          <w:lang w:eastAsia="es-CR"/>
        </w:rPr>
        <w:t xml:space="preserve">En el artículo anterior se establece por medio de excepción los cargos que no pueden ser elegidos por medio de la Asamblea Plebiscitaria, ello en forma taxativa, lo que implica que las dependencias o unidades que no se encuentran dentro de este listado, deben ser elegidas por la Asamblea Plebiscitaria. </w:t>
      </w:r>
    </w:p>
    <w:p w:rsidR="000140C9" w:rsidRPr="00D8589C" w:rsidRDefault="000140C9" w:rsidP="000140C9">
      <w:pPr>
        <w:ind w:left="709" w:right="281"/>
        <w:jc w:val="both"/>
        <w:rPr>
          <w:rFonts w:ascii="Arial" w:eastAsia="Cambria" w:hAnsi="Arial" w:cs="Arial"/>
          <w:i/>
          <w:sz w:val="22"/>
          <w:szCs w:val="22"/>
          <w:lang w:eastAsia="en-US"/>
        </w:rPr>
      </w:pPr>
      <w:r w:rsidRPr="00D8589C">
        <w:rPr>
          <w:rFonts w:ascii="Arial" w:hAnsi="Arial" w:cs="Arial"/>
          <w:i/>
          <w:sz w:val="22"/>
          <w:szCs w:val="22"/>
          <w:lang w:eastAsia="es-CR"/>
        </w:rPr>
        <w:t>Por su parte el artículo 32 del mismo instrumento legal señala</w:t>
      </w:r>
      <w:r w:rsidRPr="00D8589C">
        <w:rPr>
          <w:rFonts w:ascii="Arial" w:hAnsi="Arial" w:cs="Arial"/>
          <w:i/>
          <w:sz w:val="22"/>
          <w:szCs w:val="22"/>
        </w:rPr>
        <w:t xml:space="preserve"> como funciones generales de los Vicerrectores</w:t>
      </w:r>
      <w:r w:rsidRPr="00D8589C">
        <w:rPr>
          <w:rFonts w:ascii="Arial" w:hAnsi="Arial" w:cs="Arial"/>
          <w:i/>
          <w:sz w:val="22"/>
          <w:szCs w:val="22"/>
          <w:lang w:eastAsia="es-CR"/>
        </w:rPr>
        <w:t>:</w:t>
      </w: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w:t>
      </w: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b. Planear, dirigir y evaluar las actividades de las unidades a su cargo</w:t>
      </w: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w:t>
      </w:r>
    </w:p>
    <w:p w:rsidR="000140C9" w:rsidRPr="00D8589C" w:rsidRDefault="000140C9" w:rsidP="000140C9">
      <w:pPr>
        <w:pStyle w:val="NormalWeb"/>
        <w:spacing w:before="0" w:beforeAutospacing="0" w:after="0" w:afterAutospacing="0"/>
        <w:ind w:left="709" w:right="281"/>
        <w:jc w:val="both"/>
        <w:rPr>
          <w:rFonts w:ascii="Arial" w:hAnsi="Arial" w:cs="Arial"/>
          <w:b/>
          <w:i/>
          <w:sz w:val="22"/>
          <w:szCs w:val="22"/>
        </w:rPr>
      </w:pPr>
      <w:r w:rsidRPr="00D8589C">
        <w:rPr>
          <w:rFonts w:ascii="Arial" w:hAnsi="Arial" w:cs="Arial"/>
          <w:i/>
          <w:sz w:val="22"/>
          <w:szCs w:val="22"/>
        </w:rPr>
        <w:t xml:space="preserve">e. </w:t>
      </w:r>
      <w:r w:rsidRPr="00D8589C">
        <w:rPr>
          <w:rFonts w:ascii="Arial" w:hAnsi="Arial" w:cs="Arial"/>
          <w:b/>
          <w:i/>
          <w:sz w:val="22"/>
          <w:szCs w:val="22"/>
        </w:rPr>
        <w:t xml:space="preserve">Nombrar </w:t>
      </w:r>
      <w:r w:rsidRPr="00D8589C">
        <w:rPr>
          <w:rFonts w:ascii="Arial" w:hAnsi="Arial" w:cs="Arial"/>
          <w:i/>
          <w:sz w:val="22"/>
          <w:szCs w:val="22"/>
        </w:rPr>
        <w:t xml:space="preserve">y remover por causas graves o cuando incurran en acciones u omisiones inconvenientes o perjudiciales para los intereses institucionales o del órgano que dirigen, a los </w:t>
      </w:r>
      <w:r w:rsidRPr="00D8589C">
        <w:rPr>
          <w:rFonts w:ascii="Arial" w:hAnsi="Arial" w:cs="Arial"/>
          <w:b/>
          <w:i/>
          <w:sz w:val="22"/>
          <w:szCs w:val="22"/>
        </w:rPr>
        <w:t>coordinadores de las unidades</w:t>
      </w:r>
      <w:r w:rsidRPr="00D8589C">
        <w:rPr>
          <w:rFonts w:ascii="Arial" w:hAnsi="Arial" w:cs="Arial"/>
          <w:i/>
          <w:sz w:val="22"/>
          <w:szCs w:val="22"/>
        </w:rPr>
        <w:t xml:space="preserve">, o directores de departamentos asesores que, de acuerdo con la estructura organizacional, </w:t>
      </w:r>
      <w:r w:rsidRPr="00D8589C">
        <w:rPr>
          <w:rFonts w:ascii="Arial" w:hAnsi="Arial" w:cs="Arial"/>
          <w:b/>
          <w:i/>
          <w:sz w:val="22"/>
          <w:szCs w:val="22"/>
        </w:rPr>
        <w:t xml:space="preserve">dependen en forma directa de la Vicerrectoría, y cuyo nombramiento no sea realizado por Asamblea Plebiscitaria. </w:t>
      </w:r>
      <w:r w:rsidRPr="00D8589C">
        <w:rPr>
          <w:rFonts w:ascii="Arial" w:hAnsi="Arial" w:cs="Arial"/>
          <w:i/>
          <w:sz w:val="22"/>
          <w:szCs w:val="22"/>
        </w:rPr>
        <w:t>(El destacado es propio).</w:t>
      </w:r>
    </w:p>
    <w:p w:rsidR="000140C9" w:rsidRPr="00D8589C" w:rsidRDefault="000140C9" w:rsidP="000140C9">
      <w:pPr>
        <w:pStyle w:val="NormalWeb"/>
        <w:spacing w:before="0" w:beforeAutospacing="0" w:after="0" w:afterAutospacing="0"/>
        <w:ind w:left="709" w:right="281"/>
        <w:jc w:val="both"/>
        <w:rPr>
          <w:rFonts w:ascii="Arial" w:hAnsi="Arial" w:cs="Arial"/>
          <w:i/>
          <w:sz w:val="22"/>
          <w:szCs w:val="22"/>
        </w:rPr>
      </w:pPr>
    </w:p>
    <w:p w:rsidR="000140C9" w:rsidRPr="00D8589C" w:rsidRDefault="000140C9" w:rsidP="000140C9">
      <w:pPr>
        <w:pStyle w:val="NormalWeb"/>
        <w:spacing w:before="0" w:beforeAutospacing="0" w:after="0" w:afterAutospacing="0"/>
        <w:ind w:left="709" w:right="281"/>
        <w:jc w:val="both"/>
        <w:rPr>
          <w:rFonts w:ascii="Arial" w:hAnsi="Arial" w:cs="Arial"/>
          <w:i/>
          <w:sz w:val="22"/>
          <w:szCs w:val="22"/>
        </w:rPr>
      </w:pPr>
      <w:r w:rsidRPr="00D8589C">
        <w:rPr>
          <w:rFonts w:ascii="Arial" w:hAnsi="Arial" w:cs="Arial"/>
          <w:i/>
          <w:sz w:val="22"/>
          <w:szCs w:val="22"/>
        </w:rPr>
        <w:t xml:space="preserve">El artículo 59 bis 1, del Estatuto trata de la “Integración y Funciones del Consejo de Unidad, establece: </w:t>
      </w:r>
    </w:p>
    <w:p w:rsidR="000140C9" w:rsidRPr="00D8589C" w:rsidRDefault="000140C9" w:rsidP="000140C9">
      <w:pPr>
        <w:ind w:left="709" w:right="281"/>
        <w:jc w:val="both"/>
        <w:rPr>
          <w:rFonts w:ascii="Arial" w:hAnsi="Arial" w:cs="Arial"/>
          <w:b/>
          <w:i/>
          <w:sz w:val="22"/>
          <w:szCs w:val="22"/>
        </w:rPr>
      </w:pPr>
    </w:p>
    <w:p w:rsidR="000140C9" w:rsidRPr="00D8589C" w:rsidRDefault="000140C9" w:rsidP="000140C9">
      <w:pPr>
        <w:ind w:left="709" w:right="281"/>
        <w:jc w:val="both"/>
        <w:rPr>
          <w:rFonts w:ascii="Arial" w:hAnsi="Arial" w:cs="Arial"/>
          <w:i/>
          <w:sz w:val="22"/>
          <w:szCs w:val="22"/>
          <w:lang w:eastAsia="es-CR"/>
        </w:rPr>
      </w:pPr>
      <w:r w:rsidRPr="00D8589C">
        <w:rPr>
          <w:rFonts w:ascii="Arial" w:hAnsi="Arial" w:cs="Arial"/>
          <w:i/>
          <w:sz w:val="22"/>
          <w:szCs w:val="22"/>
          <w:lang w:eastAsia="es-CR"/>
        </w:rPr>
        <w:t xml:space="preserve">“Las escuelas que cuenten con unidades internas para el desarrollo de programas nombrarán un Consejo de unidad cuyo propósito es atender, coordinar y organizar, en forma ágil, oportuna y eficiente, los asuntos de </w:t>
      </w:r>
      <w:r w:rsidRPr="00D8589C">
        <w:rPr>
          <w:rFonts w:ascii="Arial" w:hAnsi="Arial" w:cs="Arial"/>
          <w:b/>
          <w:i/>
          <w:sz w:val="22"/>
          <w:szCs w:val="22"/>
          <w:lang w:eastAsia="es-CR"/>
        </w:rPr>
        <w:t>naturaleza académica</w:t>
      </w:r>
      <w:r w:rsidRPr="00D8589C">
        <w:rPr>
          <w:rFonts w:ascii="Arial" w:hAnsi="Arial" w:cs="Arial"/>
          <w:i/>
          <w:sz w:val="22"/>
          <w:szCs w:val="22"/>
          <w:lang w:eastAsia="es-CR"/>
        </w:rPr>
        <w:t xml:space="preserve"> relacionados con dichos programas, de acuerdo con los lineamientos y objetivos fijados por el departamento”. (El destacado es propio)</w:t>
      </w:r>
    </w:p>
    <w:p w:rsidR="000140C9" w:rsidRPr="00D8589C" w:rsidRDefault="000140C9" w:rsidP="000140C9">
      <w:pPr>
        <w:ind w:left="709" w:right="281"/>
        <w:jc w:val="both"/>
        <w:rPr>
          <w:rFonts w:ascii="Arial" w:hAnsi="Arial" w:cs="Arial"/>
          <w:i/>
          <w:sz w:val="22"/>
          <w:szCs w:val="22"/>
          <w:lang w:eastAsia="es-CR"/>
        </w:rPr>
      </w:pPr>
      <w:r w:rsidRPr="00D8589C">
        <w:rPr>
          <w:rFonts w:ascii="Arial" w:hAnsi="Arial" w:cs="Arial"/>
          <w:i/>
          <w:sz w:val="22"/>
          <w:szCs w:val="22"/>
          <w:lang w:eastAsia="es-CR"/>
        </w:rPr>
        <w:t>(…)</w:t>
      </w:r>
    </w:p>
    <w:p w:rsidR="000140C9" w:rsidRPr="00D8589C" w:rsidRDefault="000140C9" w:rsidP="000140C9">
      <w:pPr>
        <w:ind w:left="709" w:right="281"/>
        <w:jc w:val="both"/>
        <w:rPr>
          <w:rFonts w:ascii="Arial" w:hAnsi="Arial" w:cs="Arial"/>
          <w:i/>
          <w:sz w:val="22"/>
          <w:szCs w:val="22"/>
          <w:lang w:eastAsia="es-CR"/>
        </w:rPr>
      </w:pPr>
    </w:p>
    <w:p w:rsidR="000140C9" w:rsidRPr="00D8589C" w:rsidRDefault="000140C9" w:rsidP="000140C9">
      <w:pPr>
        <w:ind w:left="709" w:right="281"/>
        <w:jc w:val="both"/>
        <w:rPr>
          <w:rFonts w:ascii="Arial" w:eastAsia="Cambria" w:hAnsi="Arial" w:cs="Arial"/>
          <w:i/>
          <w:sz w:val="22"/>
          <w:szCs w:val="22"/>
          <w:lang w:eastAsia="en-US"/>
        </w:rPr>
      </w:pPr>
      <w:r w:rsidRPr="00D8589C">
        <w:rPr>
          <w:rFonts w:ascii="Arial" w:hAnsi="Arial" w:cs="Arial"/>
          <w:i/>
          <w:sz w:val="22"/>
          <w:szCs w:val="22"/>
          <w:lang w:eastAsia="es-CR"/>
        </w:rPr>
        <w:t xml:space="preserve">Del artículo señalado se desprende que el nombramiento de un Consejo de Unidad tiene como </w:t>
      </w:r>
      <w:r w:rsidRPr="00D8589C">
        <w:rPr>
          <w:rFonts w:ascii="Arial" w:hAnsi="Arial" w:cs="Arial"/>
          <w:i/>
          <w:sz w:val="22"/>
          <w:szCs w:val="22"/>
        </w:rPr>
        <w:t xml:space="preserve">  característica conocer asuntos de naturaleza académica, no indicándose que las unidades de apoyo a la academia puedan o deban tener un consejo de unidad, siendo que estos están establecidos para departamentos académicos y de apoyo a la academia, o bien para unidades académicas y unidades desconcentradas.</w:t>
      </w:r>
    </w:p>
    <w:p w:rsidR="000140C9" w:rsidRPr="00D8589C" w:rsidRDefault="000140C9" w:rsidP="000140C9">
      <w:pPr>
        <w:ind w:left="709" w:right="281"/>
        <w:jc w:val="both"/>
        <w:rPr>
          <w:rFonts w:ascii="Arial" w:hAnsi="Arial" w:cs="Arial"/>
          <w:i/>
          <w:sz w:val="22"/>
          <w:szCs w:val="22"/>
        </w:rPr>
      </w:pP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Por último, se consulta si además de las dos coordinaciones GASEL y Tec-digital ¿Existen otras unidades adscritas a vicerrectorías?, de ser así ¿cuáles son?  Se aclara que esta información no se ubica en esta oficina, pero realizada la consulta con la Oficina de Planificación, se indica que únicamente existen estas dos unidades adscritas por su orden a las Vicerrectorías de Administración y Docencia.</w:t>
      </w:r>
    </w:p>
    <w:p w:rsidR="000140C9" w:rsidRPr="00D8589C" w:rsidRDefault="000140C9" w:rsidP="000140C9">
      <w:pPr>
        <w:ind w:left="709" w:right="281"/>
        <w:jc w:val="both"/>
        <w:rPr>
          <w:rFonts w:ascii="Arial" w:hAnsi="Arial" w:cs="Arial"/>
          <w:b/>
          <w:i/>
          <w:sz w:val="22"/>
          <w:szCs w:val="22"/>
        </w:rPr>
      </w:pPr>
    </w:p>
    <w:p w:rsidR="000140C9" w:rsidRPr="00D8589C" w:rsidRDefault="000140C9" w:rsidP="000140C9">
      <w:pPr>
        <w:ind w:left="709" w:right="281"/>
        <w:jc w:val="both"/>
        <w:rPr>
          <w:rFonts w:ascii="Arial" w:hAnsi="Arial" w:cs="Arial"/>
          <w:b/>
          <w:i/>
          <w:sz w:val="22"/>
          <w:szCs w:val="22"/>
        </w:rPr>
      </w:pPr>
      <w:r w:rsidRPr="00D8589C">
        <w:rPr>
          <w:rFonts w:ascii="Arial" w:hAnsi="Arial" w:cs="Arial"/>
          <w:b/>
          <w:i/>
          <w:sz w:val="22"/>
          <w:szCs w:val="22"/>
        </w:rPr>
        <w:t>III-OBSERVACIONES Y CONCLUSIONES NO VINCULANTES</w:t>
      </w:r>
    </w:p>
    <w:p w:rsidR="000140C9" w:rsidRPr="00D8589C" w:rsidRDefault="000140C9" w:rsidP="000140C9">
      <w:pPr>
        <w:ind w:left="709" w:right="281"/>
        <w:jc w:val="both"/>
        <w:rPr>
          <w:rFonts w:ascii="Arial" w:hAnsi="Arial" w:cs="Arial"/>
          <w:b/>
          <w:i/>
          <w:sz w:val="22"/>
          <w:szCs w:val="22"/>
        </w:rPr>
      </w:pP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 xml:space="preserve">Se aclara que esta Asesoría legal se había pronunciado por medio de Memorando </w:t>
      </w:r>
      <w:bookmarkStart w:id="0" w:name="_Hlk516479877"/>
      <w:r w:rsidRPr="00D8589C">
        <w:rPr>
          <w:rFonts w:ascii="Arial" w:hAnsi="Arial" w:cs="Arial"/>
          <w:i/>
          <w:sz w:val="22"/>
          <w:szCs w:val="22"/>
        </w:rPr>
        <w:t>Asesoría Legal-229-2017</w:t>
      </w:r>
      <w:bookmarkEnd w:id="0"/>
      <w:r w:rsidRPr="00D8589C">
        <w:rPr>
          <w:rFonts w:ascii="Arial" w:hAnsi="Arial" w:cs="Arial"/>
          <w:i/>
          <w:sz w:val="22"/>
          <w:szCs w:val="22"/>
        </w:rPr>
        <w:t xml:space="preserve"> de fecha 8 de mayo del 2017, con base a la solicitud específicamente relacionada con la revisión y observaciones no vinculantes a la normativa interna de la Unidad del TEC Digital.</w:t>
      </w: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Se considera que en el caso de estas unidades y de conformidad con la normativa indicada, no se contempla la existencia de un Consejo, que pudiera en Asamblea Plebiscitaria elegir al coordinador, por lo que podría determinarse que corresponde al Vicerrector como superior jerárquico la elección del mismo.</w:t>
      </w: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 xml:space="preserve">No corresponde a esta Asesoría realizar una interpretación de estos instrumentos legales, por ser potestad del Consejo Institucional.  No obstante, se sugiere que el </w:t>
      </w:r>
      <w:r w:rsidRPr="00D8589C">
        <w:rPr>
          <w:rFonts w:ascii="Arial" w:hAnsi="Arial" w:cs="Arial"/>
          <w:i/>
          <w:sz w:val="22"/>
          <w:szCs w:val="22"/>
        </w:rPr>
        <w:lastRenderedPageBreak/>
        <w:t>Consejo si así lo considera realice una interpretación sobre este particular, siguiendo las formalidades y normativa para tal efecto.</w:t>
      </w: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 xml:space="preserve">Ahora bien, si el Consejo Institucional por medio de una solicitud de interpretación, llegara a determinar que estas Unidades no tienen competencia para elegir su coordinador por </w:t>
      </w:r>
      <w:proofErr w:type="gramStart"/>
      <w:r w:rsidRPr="00D8589C">
        <w:rPr>
          <w:rFonts w:ascii="Arial" w:hAnsi="Arial" w:cs="Arial"/>
          <w:i/>
          <w:sz w:val="22"/>
          <w:szCs w:val="22"/>
        </w:rPr>
        <w:t>medio  de</w:t>
      </w:r>
      <w:proofErr w:type="gramEnd"/>
      <w:r w:rsidRPr="00D8589C">
        <w:rPr>
          <w:rFonts w:ascii="Arial" w:hAnsi="Arial" w:cs="Arial"/>
          <w:i/>
          <w:sz w:val="22"/>
          <w:szCs w:val="22"/>
        </w:rPr>
        <w:t xml:space="preserve"> una Asamblea Plebiscitaria, esto llevaría a un tema de gran importancia; relacionado con el   nombramiento del actual coordinador y la toma de decisiones, que en ejercicio de su cargo  efectúa.</w:t>
      </w: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Así las cosas y bajo este supuesto, podría estarse frente a la figura del “funcionario de hecho” regulada por los artículos 115, 116, 117 y 118 de la Ley General de la Administración Pública a saber:</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“Artículo 115.-</w:t>
      </w:r>
      <w:r w:rsidRPr="00D8589C">
        <w:rPr>
          <w:rFonts w:ascii="Arial" w:hAnsi="Arial" w:cs="Arial"/>
          <w:bCs/>
          <w:i/>
          <w:sz w:val="22"/>
          <w:szCs w:val="22"/>
          <w:lang w:eastAsia="es-CR"/>
        </w:rPr>
        <w:t xml:space="preserve"> Será funcionario de hecho el que hace lo que el servidor público regular, pero sin investidura o con una investidura inválida, o ineficaz, aun fuera de situaciones de urgencia o de cambios ilegítimos de gobierno, siempre que se den las siguientes circunstancias:</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 xml:space="preserve">a) </w:t>
      </w:r>
      <w:r w:rsidRPr="00D8589C">
        <w:rPr>
          <w:rFonts w:ascii="Arial" w:hAnsi="Arial" w:cs="Arial"/>
          <w:bCs/>
          <w:i/>
          <w:sz w:val="22"/>
          <w:szCs w:val="22"/>
          <w:lang w:eastAsia="es-CR"/>
        </w:rPr>
        <w:t>Que no se haya declarado todavía la ausencia o la irregularidad de la investidura, ni administrativa ni jurisdiccionalmente; y</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 xml:space="preserve">b) </w:t>
      </w:r>
      <w:r w:rsidRPr="00D8589C">
        <w:rPr>
          <w:rFonts w:ascii="Arial" w:hAnsi="Arial" w:cs="Arial"/>
          <w:bCs/>
          <w:i/>
          <w:sz w:val="22"/>
          <w:szCs w:val="22"/>
          <w:lang w:eastAsia="es-CR"/>
        </w:rPr>
        <w:t>Que la conducta sea desarrollada en forma pública, pacífica, continua y normalmente acomodada a derecho.</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Artículo 116.-</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1.</w:t>
      </w:r>
      <w:r w:rsidRPr="00D8589C">
        <w:rPr>
          <w:rFonts w:ascii="Arial" w:hAnsi="Arial" w:cs="Arial"/>
          <w:bCs/>
          <w:i/>
          <w:sz w:val="22"/>
          <w:szCs w:val="22"/>
          <w:lang w:eastAsia="es-CR"/>
        </w:rPr>
        <w:t xml:space="preserve"> Los actos del funcionario de hecho serán válidos, aunque perjudiquen al administrado y aunque éste tenga conocimiento de la irregularidad de la investidura de aquél.</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2.</w:t>
      </w:r>
      <w:r w:rsidRPr="00D8589C">
        <w:rPr>
          <w:rFonts w:ascii="Arial" w:hAnsi="Arial" w:cs="Arial"/>
          <w:bCs/>
          <w:i/>
          <w:sz w:val="22"/>
          <w:szCs w:val="22"/>
          <w:lang w:eastAsia="es-CR"/>
        </w:rPr>
        <w:t xml:space="preserve"> La Administración quedará obligada o favorecida ante terceros por virtud de los mismos.</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Artículo 117.-</w:t>
      </w:r>
      <w:r w:rsidRPr="00D8589C">
        <w:rPr>
          <w:rFonts w:ascii="Arial" w:hAnsi="Arial" w:cs="Arial"/>
          <w:bCs/>
          <w:i/>
          <w:sz w:val="22"/>
          <w:szCs w:val="22"/>
          <w:lang w:eastAsia="es-CR"/>
        </w:rPr>
        <w:t xml:space="preserve"> No habrá relación de servicio entre el funcionario de hecho y la Administración, pero si el primero ha actuado de buena fe no estará obligado a devolver lo percibido de la Administración en concepto de retribución y, si nada ha recibido, podrá recuperar los costos de su conducta en la medida en que haya habido enriquecimiento sin causa, de la Administración, según las reglas del derecho común.</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Artículo 118.-</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iCs/>
          <w:sz w:val="22"/>
          <w:szCs w:val="22"/>
          <w:lang w:eastAsia="es-CR"/>
        </w:rPr>
        <w:t>1.</w:t>
      </w:r>
      <w:r w:rsidRPr="00D8589C">
        <w:rPr>
          <w:rFonts w:ascii="Arial" w:hAnsi="Arial" w:cs="Arial"/>
          <w:bCs/>
          <w:i/>
          <w:sz w:val="22"/>
          <w:szCs w:val="22"/>
          <w:lang w:eastAsia="es-CR"/>
        </w:rPr>
        <w:t xml:space="preserve"> El funcionario de hecho será responsable ante la Administración y ante los administrados por los daños que cause su conducta.</w:t>
      </w:r>
    </w:p>
    <w:p w:rsidR="000140C9" w:rsidRPr="00D8589C" w:rsidRDefault="000140C9" w:rsidP="000140C9">
      <w:pPr>
        <w:ind w:left="709" w:right="281"/>
        <w:jc w:val="both"/>
        <w:rPr>
          <w:rFonts w:ascii="Arial" w:eastAsia="Cambria" w:hAnsi="Arial" w:cs="Arial"/>
          <w:i/>
          <w:sz w:val="22"/>
          <w:szCs w:val="22"/>
          <w:lang w:eastAsia="en-US"/>
        </w:rPr>
      </w:pPr>
      <w:r w:rsidRPr="00D8589C">
        <w:rPr>
          <w:rFonts w:ascii="Arial" w:hAnsi="Arial" w:cs="Arial"/>
          <w:bCs/>
          <w:i/>
          <w:iCs/>
          <w:sz w:val="22"/>
          <w:szCs w:val="22"/>
          <w:lang w:eastAsia="es-CR"/>
        </w:rPr>
        <w:t>2.</w:t>
      </w:r>
      <w:r w:rsidRPr="00D8589C">
        <w:rPr>
          <w:rFonts w:ascii="Arial" w:hAnsi="Arial" w:cs="Arial"/>
          <w:bCs/>
          <w:i/>
          <w:sz w:val="22"/>
          <w:szCs w:val="22"/>
          <w:lang w:eastAsia="es-CR"/>
        </w:rPr>
        <w:t xml:space="preserve"> La Administración será responsable ante los administrados por la conducta del funcionario de hecho</w:t>
      </w:r>
      <w:r w:rsidRPr="00D8589C">
        <w:rPr>
          <w:rFonts w:ascii="Arial" w:hAnsi="Arial" w:cs="Arial"/>
          <w:b/>
          <w:bCs/>
          <w:i/>
          <w:sz w:val="22"/>
          <w:szCs w:val="22"/>
          <w:lang w:eastAsia="es-CR"/>
        </w:rPr>
        <w:t>.</w:t>
      </w:r>
      <w:r w:rsidRPr="00D8589C">
        <w:rPr>
          <w:rFonts w:ascii="Arial" w:hAnsi="Arial" w:cs="Arial"/>
          <w:i/>
          <w:sz w:val="22"/>
          <w:szCs w:val="22"/>
        </w:rPr>
        <w:t xml:space="preserve"> “</w:t>
      </w:r>
    </w:p>
    <w:p w:rsidR="000140C9" w:rsidRPr="00D8589C" w:rsidRDefault="000140C9" w:rsidP="000140C9">
      <w:pPr>
        <w:ind w:left="709" w:right="281"/>
        <w:jc w:val="both"/>
        <w:rPr>
          <w:rFonts w:ascii="Arial" w:hAnsi="Arial" w:cs="Arial"/>
          <w:i/>
          <w:sz w:val="22"/>
          <w:szCs w:val="22"/>
        </w:rPr>
      </w:pP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Queda en manos de la Administración valorar la situación particular arriba indicada.</w:t>
      </w:r>
    </w:p>
    <w:p w:rsidR="000140C9" w:rsidRPr="00D8589C" w:rsidRDefault="000140C9" w:rsidP="000140C9">
      <w:pPr>
        <w:ind w:left="709" w:right="281"/>
        <w:jc w:val="both"/>
        <w:rPr>
          <w:rFonts w:ascii="Arial" w:hAnsi="Arial" w:cs="Arial"/>
          <w:i/>
          <w:sz w:val="22"/>
          <w:szCs w:val="22"/>
        </w:rPr>
      </w:pPr>
      <w:r w:rsidRPr="00D8589C">
        <w:rPr>
          <w:rFonts w:ascii="Arial" w:hAnsi="Arial" w:cs="Arial"/>
          <w:i/>
          <w:sz w:val="22"/>
          <w:szCs w:val="22"/>
        </w:rPr>
        <w:t xml:space="preserve">  </w:t>
      </w:r>
    </w:p>
    <w:p w:rsidR="000140C9" w:rsidRPr="00D8589C" w:rsidRDefault="000140C9" w:rsidP="000140C9">
      <w:pPr>
        <w:pStyle w:val="Prrafodelista"/>
        <w:numPr>
          <w:ilvl w:val="0"/>
          <w:numId w:val="20"/>
        </w:numPr>
        <w:ind w:left="709" w:right="281"/>
        <w:contextualSpacing/>
        <w:jc w:val="both"/>
        <w:rPr>
          <w:rFonts w:ascii="Arial" w:hAnsi="Arial" w:cs="Arial"/>
          <w:i/>
          <w:sz w:val="22"/>
          <w:szCs w:val="22"/>
        </w:rPr>
      </w:pPr>
      <w:r w:rsidRPr="00D8589C">
        <w:rPr>
          <w:rFonts w:ascii="Arial" w:hAnsi="Arial" w:cs="Arial"/>
          <w:i/>
          <w:sz w:val="22"/>
          <w:szCs w:val="22"/>
        </w:rPr>
        <w:t>Por último, es importante destacar que la oficina de Planificación Institucional, por medio de OPI-302-2018 de fecha 20 de abril del año 2018, había dado respuesta sobre el tema al señor Coordinador de Unidad del Tec-digital, el cual esta asesoría comparte.  (Se adjunta del mismo)</w:t>
      </w:r>
      <w:r>
        <w:rPr>
          <w:rFonts w:ascii="Arial" w:hAnsi="Arial" w:cs="Arial"/>
          <w:i/>
          <w:sz w:val="22"/>
          <w:szCs w:val="22"/>
        </w:rPr>
        <w:t>”</w:t>
      </w:r>
    </w:p>
    <w:p w:rsidR="000140C9" w:rsidRDefault="000140C9" w:rsidP="000140C9">
      <w:pPr>
        <w:pStyle w:val="NormalWeb"/>
        <w:spacing w:before="0" w:beforeAutospacing="0" w:after="0" w:afterAutospacing="0"/>
        <w:jc w:val="both"/>
        <w:rPr>
          <w:rFonts w:ascii="Arial" w:eastAsia="Calibri" w:hAnsi="Arial" w:cs="Arial"/>
          <w:color w:val="FF0000"/>
        </w:rPr>
      </w:pPr>
    </w:p>
    <w:p w:rsidR="000140C9" w:rsidRPr="00D8589C" w:rsidRDefault="000140C9" w:rsidP="000140C9">
      <w:pPr>
        <w:pStyle w:val="NormalWeb"/>
        <w:numPr>
          <w:ilvl w:val="0"/>
          <w:numId w:val="16"/>
        </w:numPr>
        <w:spacing w:before="0" w:beforeAutospacing="0" w:after="0" w:afterAutospacing="0"/>
        <w:ind w:left="357" w:hanging="357"/>
        <w:jc w:val="both"/>
        <w:rPr>
          <w:rFonts w:ascii="Arial" w:eastAsia="Calibri" w:hAnsi="Arial" w:cs="Arial"/>
        </w:rPr>
      </w:pPr>
      <w:r w:rsidRPr="00D8589C">
        <w:rPr>
          <w:rFonts w:ascii="Arial" w:eastAsia="Calibri" w:hAnsi="Arial" w:cs="Arial"/>
        </w:rPr>
        <w:t>El Artículo 52 del Estatuto Orgánico del ITCR, indica lo siguiente:</w:t>
      </w:r>
    </w:p>
    <w:p w:rsidR="000140C9" w:rsidRPr="00D8589C" w:rsidRDefault="000140C9" w:rsidP="000140C9">
      <w:pPr>
        <w:ind w:right="281"/>
        <w:contextualSpacing/>
        <w:jc w:val="both"/>
        <w:rPr>
          <w:rFonts w:ascii="Arial" w:hAnsi="Arial" w:cs="Arial"/>
          <w:sz w:val="20"/>
          <w:szCs w:val="20"/>
          <w:highlight w:val="yellow"/>
        </w:rPr>
      </w:pP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sz w:val="22"/>
          <w:szCs w:val="22"/>
          <w:lang w:eastAsia="es-CR"/>
        </w:rPr>
        <w:t>“Artículo 52</w:t>
      </w:r>
    </w:p>
    <w:p w:rsidR="000140C9" w:rsidRPr="00D8589C" w:rsidRDefault="000140C9" w:rsidP="000140C9">
      <w:pPr>
        <w:ind w:left="709" w:right="281"/>
        <w:jc w:val="both"/>
        <w:rPr>
          <w:rFonts w:ascii="Arial" w:hAnsi="Arial" w:cs="Arial"/>
          <w:bCs/>
          <w:i/>
          <w:sz w:val="22"/>
          <w:szCs w:val="22"/>
          <w:lang w:eastAsia="es-CR"/>
        </w:rPr>
      </w:pPr>
      <w:r w:rsidRPr="00D8589C">
        <w:rPr>
          <w:rFonts w:ascii="Arial" w:hAnsi="Arial" w:cs="Arial"/>
          <w:bCs/>
          <w:i/>
          <w:sz w:val="22"/>
          <w:szCs w:val="22"/>
          <w:lang w:eastAsia="es-CR"/>
        </w:rPr>
        <w:t>La Asamblea Plebiscitaria de Departamento Académico estará integrada de la siguiente manera:</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t>a. El director de Departamento</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t>b. Todos los profesores que laboren en ese Departamento, nombrados por tiempo indefinido y con una jornada no menor a medio tiempo completo. Estas condiciones deben cumplirse por lo menos seis meses antes de la fecha de publicación del padrón definitivo de la Asamblea Plebiscitaria del Departamento Académico</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lastRenderedPageBreak/>
        <w:t>c. Una representación estudiantil correspondiente a 5/12 del total de miembros considerados en los incisos a y b de este artículo</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t>d. 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t xml:space="preserve">    Cuando la población del sector administrativo en un Departamento Académico represente menos del 15% de la Asamblea Plebiscitaria de ese Departamento, el valor del voto de cada uno de los funcionarios administrativos será igual al valor del voto de los otros miembros de la Asamblea</w:t>
      </w:r>
    </w:p>
    <w:p w:rsidR="000140C9" w:rsidRPr="00D8589C" w:rsidRDefault="000140C9" w:rsidP="000140C9">
      <w:pPr>
        <w:ind w:left="993" w:right="281" w:hanging="284"/>
        <w:jc w:val="both"/>
        <w:rPr>
          <w:rFonts w:ascii="Arial" w:hAnsi="Arial" w:cs="Arial"/>
          <w:bCs/>
          <w:i/>
          <w:sz w:val="22"/>
          <w:szCs w:val="22"/>
          <w:lang w:eastAsia="es-CR"/>
        </w:rPr>
      </w:pPr>
      <w:r w:rsidRPr="00D8589C">
        <w:rPr>
          <w:rFonts w:ascii="Arial" w:hAnsi="Arial" w:cs="Arial"/>
          <w:bCs/>
          <w:i/>
          <w:sz w:val="22"/>
          <w:szCs w:val="22"/>
          <w:lang w:eastAsia="es-CR"/>
        </w:rPr>
        <w:t xml:space="preserve">    Para determinar el valor de los votos emitidos por los funcionarios administrativos en la Asamblea Plebiscitaria de Departamento Académico, el procedimiento será definido en el reglamento respectivo”.</w:t>
      </w:r>
    </w:p>
    <w:p w:rsidR="000140C9" w:rsidRPr="00D8589C" w:rsidRDefault="000140C9" w:rsidP="000140C9">
      <w:pPr>
        <w:ind w:right="281"/>
        <w:contextualSpacing/>
        <w:jc w:val="both"/>
        <w:rPr>
          <w:rFonts w:ascii="Arial" w:hAnsi="Arial" w:cs="Arial"/>
          <w:sz w:val="20"/>
          <w:szCs w:val="20"/>
          <w:highlight w:val="yellow"/>
        </w:rPr>
      </w:pPr>
    </w:p>
    <w:p w:rsidR="000140C9" w:rsidRPr="00D8589C" w:rsidRDefault="000140C9" w:rsidP="000140C9">
      <w:pPr>
        <w:pStyle w:val="NormalWeb"/>
        <w:numPr>
          <w:ilvl w:val="0"/>
          <w:numId w:val="16"/>
        </w:numPr>
        <w:spacing w:before="0" w:beforeAutospacing="0" w:after="0" w:afterAutospacing="0"/>
        <w:ind w:left="357" w:hanging="357"/>
        <w:jc w:val="both"/>
        <w:rPr>
          <w:rFonts w:ascii="Arial" w:eastAsia="Calibri" w:hAnsi="Arial" w:cs="Arial"/>
        </w:rPr>
      </w:pPr>
      <w:r w:rsidRPr="00D8589C">
        <w:rPr>
          <w:rFonts w:ascii="Arial" w:eastAsia="Calibri" w:hAnsi="Arial" w:cs="Arial"/>
        </w:rPr>
        <w:t>En el oficio TIE-324-2018 el Tribunal Institucional Electoral ha informado que organizó el proceso de elección del Coordinador de la Unidad TEC Digital</w:t>
      </w:r>
      <w:r>
        <w:rPr>
          <w:rFonts w:ascii="Arial" w:eastAsia="Calibri" w:hAnsi="Arial" w:cs="Arial"/>
        </w:rPr>
        <w:t>,</w:t>
      </w:r>
      <w:r w:rsidRPr="00D8589C">
        <w:rPr>
          <w:rFonts w:ascii="Arial" w:eastAsia="Calibri" w:hAnsi="Arial" w:cs="Arial"/>
        </w:rPr>
        <w:t xml:space="preserve"> aplicando el </w:t>
      </w:r>
      <w:r>
        <w:rPr>
          <w:rFonts w:ascii="Arial" w:eastAsia="Calibri" w:hAnsi="Arial" w:cs="Arial"/>
        </w:rPr>
        <w:t>A</w:t>
      </w:r>
      <w:r w:rsidRPr="00D8589C">
        <w:rPr>
          <w:rFonts w:ascii="Arial" w:eastAsia="Calibri" w:hAnsi="Arial" w:cs="Arial"/>
        </w:rPr>
        <w:t>rtículo 52 del Estatuto Orgánico</w:t>
      </w:r>
      <w:r>
        <w:rPr>
          <w:rFonts w:ascii="Arial" w:eastAsia="Calibri" w:hAnsi="Arial" w:cs="Arial"/>
        </w:rPr>
        <w:t xml:space="preserve"> del ITCR</w:t>
      </w:r>
      <w:r w:rsidRPr="00D8589C">
        <w:rPr>
          <w:rFonts w:ascii="Arial" w:eastAsia="Calibri" w:hAnsi="Arial" w:cs="Arial"/>
        </w:rPr>
        <w:t>.</w:t>
      </w:r>
    </w:p>
    <w:p w:rsidR="000140C9" w:rsidRPr="00753424" w:rsidRDefault="000140C9" w:rsidP="000140C9">
      <w:pPr>
        <w:pStyle w:val="NormalWeb"/>
        <w:spacing w:before="0" w:beforeAutospacing="0" w:after="0" w:afterAutospacing="0"/>
        <w:ind w:left="357"/>
        <w:jc w:val="both"/>
        <w:rPr>
          <w:rFonts w:ascii="Arial" w:eastAsia="Calibri" w:hAnsi="Arial" w:cs="Arial"/>
          <w:lang w:val="es-ES" w:eastAsia="en-US"/>
        </w:rPr>
      </w:pPr>
    </w:p>
    <w:p w:rsidR="000140C9" w:rsidRPr="00E26D35" w:rsidRDefault="000140C9" w:rsidP="000140C9">
      <w:pPr>
        <w:tabs>
          <w:tab w:val="left" w:pos="3070"/>
        </w:tabs>
        <w:ind w:right="423"/>
        <w:rPr>
          <w:rFonts w:ascii="Arial" w:eastAsia="Arial" w:hAnsi="Arial" w:cs="Arial"/>
          <w:b/>
        </w:rPr>
      </w:pPr>
      <w:r w:rsidRPr="00E26D35">
        <w:rPr>
          <w:rFonts w:ascii="Arial" w:eastAsia="Arial" w:hAnsi="Arial" w:cs="Arial"/>
          <w:b/>
        </w:rPr>
        <w:t xml:space="preserve">CONSIDERANDO QUE: </w:t>
      </w:r>
    </w:p>
    <w:p w:rsidR="000140C9" w:rsidRPr="00753424" w:rsidRDefault="000140C9" w:rsidP="000140C9">
      <w:pPr>
        <w:tabs>
          <w:tab w:val="left" w:pos="3070"/>
        </w:tabs>
        <w:ind w:left="357" w:right="423"/>
        <w:rPr>
          <w:rFonts w:ascii="Arial" w:hAnsi="Arial" w:cs="Arial"/>
          <w:sz w:val="22"/>
          <w:szCs w:val="22"/>
        </w:rPr>
      </w:pPr>
    </w:p>
    <w:p w:rsidR="000140C9" w:rsidRPr="00A07A2A" w:rsidRDefault="000140C9" w:rsidP="000140C9">
      <w:pPr>
        <w:numPr>
          <w:ilvl w:val="0"/>
          <w:numId w:val="17"/>
        </w:numPr>
        <w:ind w:left="426" w:right="423" w:hanging="426"/>
        <w:jc w:val="both"/>
        <w:rPr>
          <w:rFonts w:ascii="Arial" w:eastAsia="Arial" w:hAnsi="Arial" w:cs="Arial"/>
        </w:rPr>
      </w:pPr>
      <w:r w:rsidRPr="00A07A2A">
        <w:rPr>
          <w:rFonts w:ascii="Arial" w:eastAsia="Arial" w:hAnsi="Arial" w:cs="Arial"/>
        </w:rPr>
        <w:t>El Estatuto Orgánico es sumamente claro y preciso al indicar las instancias que cuentan con asamblea plebiscitaria.</w:t>
      </w:r>
    </w:p>
    <w:p w:rsidR="000140C9" w:rsidRPr="00A07A2A" w:rsidRDefault="000140C9" w:rsidP="000140C9">
      <w:pPr>
        <w:ind w:left="357" w:right="423"/>
        <w:jc w:val="both"/>
        <w:rPr>
          <w:rFonts w:ascii="Arial" w:eastAsia="Arial" w:hAnsi="Arial" w:cs="Arial"/>
        </w:rPr>
      </w:pPr>
    </w:p>
    <w:p w:rsidR="000140C9" w:rsidRPr="00A07A2A" w:rsidRDefault="000140C9" w:rsidP="000140C9">
      <w:pPr>
        <w:numPr>
          <w:ilvl w:val="0"/>
          <w:numId w:val="17"/>
        </w:numPr>
        <w:ind w:left="426" w:right="423" w:hanging="426"/>
        <w:jc w:val="both"/>
        <w:rPr>
          <w:rFonts w:ascii="Arial" w:eastAsia="Arial" w:hAnsi="Arial" w:cs="Arial"/>
        </w:rPr>
      </w:pPr>
      <w:r w:rsidRPr="00A07A2A">
        <w:rPr>
          <w:rFonts w:ascii="Arial" w:eastAsia="Arial" w:hAnsi="Arial" w:cs="Arial"/>
        </w:rPr>
        <w:t>Las únicas unidades que cuentan con Asamblea Plebiscitaria para el nombramiento de Coordinadores</w:t>
      </w:r>
      <w:r>
        <w:rPr>
          <w:rFonts w:ascii="Arial" w:eastAsia="Arial" w:hAnsi="Arial" w:cs="Arial"/>
        </w:rPr>
        <w:t>,</w:t>
      </w:r>
      <w:r w:rsidRPr="00A07A2A">
        <w:rPr>
          <w:rFonts w:ascii="Arial" w:eastAsia="Arial" w:hAnsi="Arial" w:cs="Arial"/>
        </w:rPr>
        <w:t xml:space="preserve"> son las Áreas </w:t>
      </w:r>
      <w:r>
        <w:rPr>
          <w:rFonts w:ascii="Arial" w:eastAsia="Arial" w:hAnsi="Arial" w:cs="Arial"/>
        </w:rPr>
        <w:t>A</w:t>
      </w:r>
      <w:r w:rsidRPr="00A07A2A">
        <w:rPr>
          <w:rFonts w:ascii="Arial" w:eastAsia="Arial" w:hAnsi="Arial" w:cs="Arial"/>
        </w:rPr>
        <w:t xml:space="preserve">cadémicas y las Unidades Desconcentradas que cuenten con más de diez profesores en propiedad </w:t>
      </w:r>
      <w:r>
        <w:rPr>
          <w:rFonts w:ascii="Arial" w:eastAsia="Arial" w:hAnsi="Arial" w:cs="Arial"/>
        </w:rPr>
        <w:t>y con nombramiento de</w:t>
      </w:r>
      <w:r w:rsidRPr="00A07A2A">
        <w:rPr>
          <w:rFonts w:ascii="Arial" w:eastAsia="Arial" w:hAnsi="Arial" w:cs="Arial"/>
        </w:rPr>
        <w:t xml:space="preserve"> al menos medio tiempo.</w:t>
      </w:r>
    </w:p>
    <w:p w:rsidR="000140C9" w:rsidRPr="00A07A2A" w:rsidRDefault="000140C9" w:rsidP="000140C9">
      <w:pPr>
        <w:ind w:left="357" w:right="423"/>
        <w:jc w:val="both"/>
        <w:rPr>
          <w:rFonts w:ascii="Arial" w:eastAsia="Arial" w:hAnsi="Arial" w:cs="Arial"/>
        </w:rPr>
      </w:pPr>
    </w:p>
    <w:p w:rsidR="000140C9" w:rsidRPr="00A07A2A" w:rsidRDefault="000140C9" w:rsidP="000140C9">
      <w:pPr>
        <w:numPr>
          <w:ilvl w:val="0"/>
          <w:numId w:val="17"/>
        </w:numPr>
        <w:ind w:left="426" w:right="423" w:hanging="426"/>
        <w:jc w:val="both"/>
        <w:rPr>
          <w:rFonts w:ascii="Arial" w:eastAsia="Arial" w:hAnsi="Arial" w:cs="Arial"/>
          <w:i/>
        </w:rPr>
      </w:pPr>
      <w:r w:rsidRPr="00A07A2A">
        <w:rPr>
          <w:rFonts w:ascii="Arial" w:eastAsia="Arial" w:hAnsi="Arial" w:cs="Arial"/>
        </w:rPr>
        <w:t xml:space="preserve">El </w:t>
      </w:r>
      <w:r>
        <w:rPr>
          <w:rFonts w:ascii="Arial" w:eastAsia="Arial" w:hAnsi="Arial" w:cs="Arial"/>
        </w:rPr>
        <w:t>A</w:t>
      </w:r>
      <w:r w:rsidRPr="00A07A2A">
        <w:rPr>
          <w:rFonts w:ascii="Arial" w:eastAsia="Arial" w:hAnsi="Arial" w:cs="Arial"/>
        </w:rPr>
        <w:t>rtículo 32, inciso e, del Estatuto Orgánico</w:t>
      </w:r>
      <w:r>
        <w:rPr>
          <w:rFonts w:ascii="Arial" w:eastAsia="Arial" w:hAnsi="Arial" w:cs="Arial"/>
        </w:rPr>
        <w:t xml:space="preserve"> del ITCR,</w:t>
      </w:r>
      <w:r w:rsidRPr="00A07A2A">
        <w:rPr>
          <w:rFonts w:ascii="Arial" w:eastAsia="Arial" w:hAnsi="Arial" w:cs="Arial"/>
        </w:rPr>
        <w:t xml:space="preserve"> indica con toda precisión</w:t>
      </w:r>
      <w:r>
        <w:rPr>
          <w:rFonts w:ascii="Arial" w:eastAsia="Arial" w:hAnsi="Arial" w:cs="Arial"/>
        </w:rPr>
        <w:t>,</w:t>
      </w:r>
      <w:r w:rsidRPr="00A07A2A">
        <w:rPr>
          <w:rFonts w:ascii="Arial" w:eastAsia="Arial" w:hAnsi="Arial" w:cs="Arial"/>
        </w:rPr>
        <w:t xml:space="preserve"> que compete al Vicerrector </w:t>
      </w:r>
      <w:r w:rsidRPr="00A07A2A">
        <w:rPr>
          <w:rFonts w:ascii="Arial" w:eastAsia="Arial" w:hAnsi="Arial" w:cs="Arial"/>
          <w:i/>
        </w:rPr>
        <w:t>“</w:t>
      </w:r>
      <w:r w:rsidRPr="00A07A2A">
        <w:rPr>
          <w:rFonts w:ascii="Arial" w:hAnsi="Arial" w:cs="Arial"/>
          <w:i/>
        </w:rPr>
        <w:t>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0140C9" w:rsidRPr="00A07A2A" w:rsidRDefault="000140C9" w:rsidP="000140C9">
      <w:pPr>
        <w:ind w:right="423"/>
        <w:jc w:val="both"/>
        <w:rPr>
          <w:rFonts w:ascii="Arial" w:eastAsia="Arial" w:hAnsi="Arial" w:cs="Arial"/>
        </w:rPr>
      </w:pPr>
    </w:p>
    <w:p w:rsidR="000140C9" w:rsidRPr="00A07A2A" w:rsidRDefault="000140C9" w:rsidP="000140C9">
      <w:pPr>
        <w:numPr>
          <w:ilvl w:val="0"/>
          <w:numId w:val="17"/>
        </w:numPr>
        <w:ind w:left="426" w:right="423" w:hanging="426"/>
        <w:jc w:val="both"/>
        <w:rPr>
          <w:rFonts w:ascii="Arial" w:eastAsia="Arial" w:hAnsi="Arial" w:cs="Arial"/>
        </w:rPr>
      </w:pPr>
      <w:r w:rsidRPr="00A07A2A">
        <w:rPr>
          <w:rFonts w:ascii="Arial" w:hAnsi="Arial" w:cs="Arial"/>
        </w:rPr>
        <w:t>La Unidad de Gestión Ambiental y Seguridad Laboral (GASEL) está adscrita a la Vicerrectoría de Administración y la Unidad TEC Digital a la Vicerrectoría de Docencia. Ninguna de estas unidades fue creada para desarrollar actividades académicas.</w:t>
      </w:r>
    </w:p>
    <w:p w:rsidR="000140C9" w:rsidRPr="00A07A2A" w:rsidRDefault="000140C9" w:rsidP="000140C9">
      <w:pPr>
        <w:pStyle w:val="Prrafodelista"/>
        <w:rPr>
          <w:rFonts w:ascii="Arial" w:eastAsia="Arial" w:hAnsi="Arial" w:cs="Arial"/>
        </w:rPr>
      </w:pPr>
    </w:p>
    <w:p w:rsidR="000140C9" w:rsidRPr="00A07A2A" w:rsidRDefault="000140C9" w:rsidP="000140C9">
      <w:pPr>
        <w:numPr>
          <w:ilvl w:val="0"/>
          <w:numId w:val="17"/>
        </w:numPr>
        <w:ind w:left="426" w:right="423" w:hanging="426"/>
        <w:jc w:val="both"/>
        <w:rPr>
          <w:rFonts w:ascii="Arial" w:hAnsi="Arial" w:cs="Arial"/>
        </w:rPr>
      </w:pPr>
      <w:r w:rsidRPr="00A07A2A">
        <w:rPr>
          <w:rFonts w:ascii="Arial" w:hAnsi="Arial" w:cs="Arial"/>
        </w:rPr>
        <w:t>La Unidad de Gestión Ambiental y Seguridad Laboral (GASEL) y la Unidad TEC Digital son las únicas unidades adscritas a alguna vicerrectoría.</w:t>
      </w:r>
    </w:p>
    <w:p w:rsidR="000140C9" w:rsidRPr="00A07A2A" w:rsidRDefault="000140C9" w:rsidP="000140C9">
      <w:pPr>
        <w:pStyle w:val="Prrafodelista"/>
        <w:rPr>
          <w:rFonts w:ascii="Arial" w:hAnsi="Arial" w:cs="Arial"/>
        </w:rPr>
      </w:pPr>
    </w:p>
    <w:p w:rsidR="000140C9" w:rsidRPr="00A07A2A" w:rsidRDefault="000140C9" w:rsidP="000140C9">
      <w:pPr>
        <w:numPr>
          <w:ilvl w:val="0"/>
          <w:numId w:val="17"/>
        </w:numPr>
        <w:ind w:left="426" w:right="423" w:hanging="426"/>
        <w:jc w:val="both"/>
        <w:rPr>
          <w:rFonts w:ascii="Arial" w:hAnsi="Arial" w:cs="Arial"/>
        </w:rPr>
      </w:pPr>
      <w:r w:rsidRPr="00A07A2A">
        <w:rPr>
          <w:rFonts w:ascii="Arial" w:hAnsi="Arial" w:cs="Arial"/>
        </w:rPr>
        <w:t>El Estatuto Orgánico es sumamente claro en indicar qué instancias cuentan con Asamblea Plebiscitaria para el nombramiento de los Directores o Coordinadores, razón por la que resulta innecesario acudir a la figura de la interpretación de ese cuerpo normativo</w:t>
      </w:r>
      <w:r>
        <w:rPr>
          <w:rFonts w:ascii="Arial" w:hAnsi="Arial" w:cs="Arial"/>
        </w:rPr>
        <w:t>,</w:t>
      </w:r>
      <w:r w:rsidRPr="00A07A2A">
        <w:rPr>
          <w:rFonts w:ascii="Arial" w:hAnsi="Arial" w:cs="Arial"/>
        </w:rPr>
        <w:t xml:space="preserve"> para responder las consultas del oficio </w:t>
      </w:r>
      <w:r w:rsidRPr="00A07A2A">
        <w:rPr>
          <w:rFonts w:ascii="Arial" w:eastAsia="Calibri" w:hAnsi="Arial" w:cs="Arial"/>
          <w:bCs/>
          <w:lang w:eastAsia="en-US"/>
        </w:rPr>
        <w:t>TIE-325-2018.</w:t>
      </w:r>
    </w:p>
    <w:p w:rsidR="000140C9" w:rsidRDefault="000140C9" w:rsidP="000140C9">
      <w:pPr>
        <w:pStyle w:val="Prrafodelista"/>
        <w:rPr>
          <w:rFonts w:ascii="Arial" w:hAnsi="Arial" w:cs="Arial"/>
          <w:sz w:val="22"/>
          <w:szCs w:val="22"/>
        </w:rPr>
      </w:pPr>
    </w:p>
    <w:p w:rsidR="000140C9" w:rsidRPr="00E26D35" w:rsidRDefault="000140C9" w:rsidP="000140C9">
      <w:pPr>
        <w:numPr>
          <w:ilvl w:val="0"/>
          <w:numId w:val="17"/>
        </w:numPr>
        <w:ind w:left="426" w:right="423" w:hanging="426"/>
        <w:jc w:val="both"/>
        <w:rPr>
          <w:rFonts w:ascii="Arial" w:hAnsi="Arial" w:cs="Arial"/>
        </w:rPr>
      </w:pPr>
      <w:r w:rsidRPr="00E26D35">
        <w:rPr>
          <w:rFonts w:ascii="Arial" w:hAnsi="Arial" w:cs="Arial"/>
        </w:rPr>
        <w:t xml:space="preserve">El Artículo 52 del Estatuto Orgánico del </w:t>
      </w:r>
      <w:proofErr w:type="gramStart"/>
      <w:r w:rsidRPr="00E26D35">
        <w:rPr>
          <w:rFonts w:ascii="Arial" w:hAnsi="Arial" w:cs="Arial"/>
        </w:rPr>
        <w:t>ITCR,  no</w:t>
      </w:r>
      <w:proofErr w:type="gramEnd"/>
      <w:r w:rsidRPr="00E26D35">
        <w:rPr>
          <w:rFonts w:ascii="Arial" w:hAnsi="Arial" w:cs="Arial"/>
        </w:rPr>
        <w:t xml:space="preserve"> puede constituir base legal válida</w:t>
      </w:r>
      <w:r>
        <w:rPr>
          <w:rFonts w:ascii="Arial" w:hAnsi="Arial" w:cs="Arial"/>
        </w:rPr>
        <w:t>,</w:t>
      </w:r>
      <w:r w:rsidRPr="00E26D35">
        <w:rPr>
          <w:rFonts w:ascii="Arial" w:hAnsi="Arial" w:cs="Arial"/>
        </w:rPr>
        <w:t xml:space="preserve"> para la organización de la elección del Coordinador de la Unidad TEC Digital, dado que esa disposición aplica para la integración de la Asambleas Plebiscitaria de los Departamentos Académicos y ese no es el caso de la Unidad TEC Digital. </w:t>
      </w:r>
    </w:p>
    <w:p w:rsidR="000140C9" w:rsidRPr="00753424" w:rsidRDefault="000140C9" w:rsidP="000140C9">
      <w:pPr>
        <w:ind w:left="357" w:right="423"/>
        <w:rPr>
          <w:rFonts w:ascii="Arial" w:eastAsia="Arial" w:hAnsi="Arial" w:cs="Arial"/>
          <w:b/>
          <w:sz w:val="22"/>
          <w:szCs w:val="22"/>
        </w:rPr>
      </w:pPr>
    </w:p>
    <w:p w:rsidR="000140C9" w:rsidRPr="00E26D35" w:rsidRDefault="000140C9" w:rsidP="000140C9">
      <w:pPr>
        <w:ind w:left="357" w:right="423"/>
        <w:rPr>
          <w:rFonts w:ascii="Arial" w:eastAsia="Arial" w:hAnsi="Arial" w:cs="Arial"/>
          <w:b/>
        </w:rPr>
      </w:pPr>
      <w:r w:rsidRPr="00E26D35">
        <w:rPr>
          <w:rFonts w:ascii="Arial" w:eastAsia="Arial" w:hAnsi="Arial" w:cs="Arial"/>
          <w:b/>
        </w:rPr>
        <w:t>SE</w:t>
      </w:r>
      <w:r>
        <w:rPr>
          <w:rFonts w:ascii="Arial" w:eastAsia="Arial" w:hAnsi="Arial" w:cs="Arial"/>
          <w:b/>
        </w:rPr>
        <w:t xml:space="preserve"> ACUERDA</w:t>
      </w:r>
      <w:r w:rsidRPr="00E26D35">
        <w:rPr>
          <w:rFonts w:ascii="Arial" w:eastAsia="Arial" w:hAnsi="Arial" w:cs="Arial"/>
          <w:b/>
        </w:rPr>
        <w:t>:</w:t>
      </w:r>
    </w:p>
    <w:p w:rsidR="000140C9" w:rsidRPr="00753424" w:rsidRDefault="000140C9" w:rsidP="000140C9">
      <w:pPr>
        <w:ind w:left="357" w:right="423"/>
        <w:rPr>
          <w:rFonts w:ascii="Arial" w:hAnsi="Arial" w:cs="Arial"/>
          <w:sz w:val="22"/>
          <w:szCs w:val="22"/>
        </w:rPr>
      </w:pPr>
    </w:p>
    <w:p w:rsidR="000140C9" w:rsidRPr="00753424" w:rsidRDefault="000140C9" w:rsidP="000140C9">
      <w:pPr>
        <w:pStyle w:val="Prrafodelista"/>
        <w:numPr>
          <w:ilvl w:val="0"/>
          <w:numId w:val="21"/>
        </w:numPr>
        <w:ind w:right="-2"/>
        <w:jc w:val="both"/>
        <w:rPr>
          <w:rFonts w:ascii="Arial" w:eastAsia="Arial" w:hAnsi="Arial" w:cs="Arial"/>
        </w:rPr>
      </w:pPr>
      <w:r w:rsidRPr="00753424">
        <w:rPr>
          <w:rFonts w:ascii="Arial" w:eastAsia="Arial" w:hAnsi="Arial" w:cs="Arial"/>
        </w:rPr>
        <w:t xml:space="preserve">Responder las consultas del oficio </w:t>
      </w:r>
      <w:r w:rsidRPr="00753424">
        <w:rPr>
          <w:rFonts w:ascii="Arial" w:eastAsia="Calibri" w:hAnsi="Arial" w:cs="Arial"/>
          <w:bCs/>
          <w:lang w:eastAsia="en-US"/>
        </w:rPr>
        <w:t>TIE-325-2018 en los siguientes términos:</w:t>
      </w:r>
    </w:p>
    <w:p w:rsidR="000140C9" w:rsidRPr="00753424" w:rsidRDefault="000140C9" w:rsidP="000140C9">
      <w:pPr>
        <w:ind w:right="423"/>
        <w:rPr>
          <w:rFonts w:ascii="Arial" w:eastAsia="Arial" w:hAnsi="Arial" w:cs="Arial"/>
        </w:rPr>
      </w:pPr>
    </w:p>
    <w:p w:rsidR="000140C9" w:rsidRPr="00753424" w:rsidRDefault="000140C9" w:rsidP="000140C9">
      <w:pPr>
        <w:pStyle w:val="Prrafodelista"/>
        <w:numPr>
          <w:ilvl w:val="0"/>
          <w:numId w:val="22"/>
        </w:numPr>
        <w:ind w:left="1068" w:right="142"/>
        <w:contextualSpacing/>
        <w:jc w:val="both"/>
        <w:rPr>
          <w:rFonts w:ascii="Arial" w:hAnsi="Arial" w:cs="Arial"/>
          <w:lang w:val="es-CR" w:eastAsia="en-US"/>
        </w:rPr>
      </w:pPr>
      <w:r w:rsidRPr="00753424">
        <w:rPr>
          <w:rFonts w:ascii="Arial" w:hAnsi="Arial" w:cs="Arial"/>
        </w:rPr>
        <w:t>¿Los puestos de coordinación de las unidades adscritas a la vicerrectoría deben ser elegidas por medio de Asamblea Plebiscitaria</w:t>
      </w:r>
      <w:r>
        <w:rPr>
          <w:rFonts w:ascii="Arial" w:hAnsi="Arial" w:cs="Arial"/>
        </w:rPr>
        <w:t>,</w:t>
      </w:r>
      <w:r w:rsidRPr="00753424">
        <w:rPr>
          <w:rFonts w:ascii="Arial" w:hAnsi="Arial" w:cs="Arial"/>
        </w:rPr>
        <w:t xml:space="preserve"> por </w:t>
      </w:r>
      <w:proofErr w:type="gramStart"/>
      <w:r w:rsidRPr="00753424">
        <w:rPr>
          <w:rFonts w:ascii="Arial" w:hAnsi="Arial" w:cs="Arial"/>
        </w:rPr>
        <w:t>ejemplo</w:t>
      </w:r>
      <w:proofErr w:type="gramEnd"/>
      <w:r w:rsidRPr="00753424">
        <w:rPr>
          <w:rFonts w:ascii="Arial" w:hAnsi="Arial" w:cs="Arial"/>
        </w:rPr>
        <w:t xml:space="preserve"> la coordinación de la Unidad de Gestión Ambiental y Seguridad Laboral GASEL; y la coordinación de la Unidad de TEC digital?</w:t>
      </w:r>
    </w:p>
    <w:p w:rsidR="000140C9" w:rsidRPr="00753424" w:rsidRDefault="000140C9" w:rsidP="000140C9">
      <w:pPr>
        <w:ind w:left="282" w:right="423"/>
        <w:rPr>
          <w:rFonts w:ascii="Arial" w:eastAsia="Arial" w:hAnsi="Arial" w:cs="Arial"/>
          <w:lang w:val="es-CR"/>
        </w:rPr>
      </w:pPr>
    </w:p>
    <w:p w:rsidR="000140C9" w:rsidRPr="00753424" w:rsidRDefault="000140C9" w:rsidP="000140C9">
      <w:pPr>
        <w:ind w:left="991" w:right="423"/>
        <w:jc w:val="both"/>
        <w:rPr>
          <w:rFonts w:ascii="Arial" w:eastAsia="Arial" w:hAnsi="Arial" w:cs="Arial"/>
        </w:rPr>
      </w:pPr>
      <w:r w:rsidRPr="00753424">
        <w:rPr>
          <w:rFonts w:ascii="Arial" w:eastAsia="Arial" w:hAnsi="Arial" w:cs="Arial"/>
          <w:b/>
        </w:rPr>
        <w:t xml:space="preserve">Respuesta: </w:t>
      </w:r>
      <w:r w:rsidRPr="00753424">
        <w:rPr>
          <w:rFonts w:ascii="Arial" w:eastAsia="Arial" w:hAnsi="Arial" w:cs="Arial"/>
        </w:rPr>
        <w:t xml:space="preserve">Los puestos de coordinación de las unidades adscritas directamente a una vicerrectoría no corresponde a ninguna Asamblea Plebiscitaria, pues ese tipo de asamblea no existe en esos casos. </w:t>
      </w:r>
    </w:p>
    <w:p w:rsidR="000140C9" w:rsidRPr="00753424" w:rsidRDefault="000140C9" w:rsidP="000140C9">
      <w:pPr>
        <w:pStyle w:val="Prrafodelista"/>
        <w:ind w:left="642"/>
        <w:jc w:val="both"/>
        <w:rPr>
          <w:rFonts w:ascii="Arial" w:hAnsi="Arial" w:cs="Arial"/>
          <w:i/>
        </w:rPr>
      </w:pPr>
    </w:p>
    <w:p w:rsidR="000140C9" w:rsidRPr="00753424" w:rsidRDefault="000140C9" w:rsidP="000140C9">
      <w:pPr>
        <w:pStyle w:val="Prrafodelista"/>
        <w:numPr>
          <w:ilvl w:val="0"/>
          <w:numId w:val="22"/>
        </w:numPr>
        <w:ind w:left="1068" w:right="142"/>
        <w:contextualSpacing/>
        <w:jc w:val="both"/>
        <w:rPr>
          <w:rFonts w:ascii="Arial" w:hAnsi="Arial" w:cs="Arial"/>
        </w:rPr>
      </w:pPr>
      <w:r w:rsidRPr="00753424">
        <w:rPr>
          <w:rFonts w:ascii="Arial" w:hAnsi="Arial" w:cs="Arial"/>
        </w:rPr>
        <w:t>Si no deben ser elegidas por medio de Asamblea Plebiscitaria ¿quién debe nombrar los puestos de coordinación de dichas unidades?</w:t>
      </w:r>
    </w:p>
    <w:p w:rsidR="000140C9" w:rsidRPr="00753424" w:rsidRDefault="000140C9" w:rsidP="000140C9">
      <w:pPr>
        <w:ind w:left="282" w:right="142"/>
        <w:contextualSpacing/>
        <w:jc w:val="both"/>
        <w:rPr>
          <w:rFonts w:ascii="Arial" w:hAnsi="Arial" w:cs="Arial"/>
        </w:rPr>
      </w:pPr>
    </w:p>
    <w:p w:rsidR="000140C9" w:rsidRPr="00753424" w:rsidRDefault="000140C9" w:rsidP="000140C9">
      <w:pPr>
        <w:ind w:left="991" w:right="423"/>
        <w:jc w:val="both"/>
        <w:rPr>
          <w:rFonts w:ascii="Arial" w:eastAsia="Arial" w:hAnsi="Arial" w:cs="Arial"/>
        </w:rPr>
      </w:pPr>
      <w:r w:rsidRPr="00753424">
        <w:rPr>
          <w:rFonts w:ascii="Arial" w:eastAsia="Arial" w:hAnsi="Arial" w:cs="Arial"/>
          <w:b/>
        </w:rPr>
        <w:t xml:space="preserve">Respuesta: </w:t>
      </w:r>
      <w:r w:rsidRPr="00753424">
        <w:rPr>
          <w:rFonts w:ascii="Arial" w:eastAsia="Arial" w:hAnsi="Arial" w:cs="Arial"/>
        </w:rPr>
        <w:t>Corresponde, por así disponerlo el artículo 32, inciso e, del Estatuto Orgánico, al Vicerrector correspondiente. El Coordinador de la Unidad de Gestión Ambiental y Seguridad Laboral (GASEL) le corresponde nombrarlo al Vicerrector de Administración y el de la Unidad TEC Digital al Vicerrector de Docencia.</w:t>
      </w:r>
    </w:p>
    <w:p w:rsidR="000140C9" w:rsidRPr="00753424" w:rsidRDefault="000140C9" w:rsidP="000140C9">
      <w:pPr>
        <w:ind w:left="282" w:right="142"/>
        <w:contextualSpacing/>
        <w:jc w:val="both"/>
        <w:rPr>
          <w:rFonts w:ascii="Arial" w:eastAsia="Arial" w:hAnsi="Arial" w:cs="Arial"/>
          <w:b/>
        </w:rPr>
      </w:pPr>
    </w:p>
    <w:p w:rsidR="000140C9" w:rsidRPr="00753424" w:rsidRDefault="000140C9" w:rsidP="000140C9">
      <w:pPr>
        <w:pStyle w:val="Prrafodelista"/>
        <w:numPr>
          <w:ilvl w:val="0"/>
          <w:numId w:val="22"/>
        </w:numPr>
        <w:ind w:left="1068" w:right="142"/>
        <w:contextualSpacing/>
        <w:jc w:val="both"/>
        <w:rPr>
          <w:rFonts w:ascii="Arial" w:hAnsi="Arial" w:cs="Arial"/>
        </w:rPr>
      </w:pPr>
      <w:r w:rsidRPr="00753424">
        <w:rPr>
          <w:rFonts w:ascii="Arial" w:hAnsi="Arial" w:cs="Arial"/>
        </w:rPr>
        <w:t>Además de las dos coordinaciones precitadas, ¿existen otras unidades adscritas a vicerrectorías?, de ser así ¿cuáles son?</w:t>
      </w:r>
    </w:p>
    <w:p w:rsidR="000140C9" w:rsidRPr="00753424" w:rsidRDefault="000140C9" w:rsidP="000140C9">
      <w:pPr>
        <w:ind w:left="282" w:right="142"/>
        <w:contextualSpacing/>
        <w:jc w:val="both"/>
        <w:rPr>
          <w:rFonts w:ascii="Arial" w:hAnsi="Arial" w:cs="Arial"/>
        </w:rPr>
      </w:pPr>
    </w:p>
    <w:p w:rsidR="000140C9" w:rsidRPr="00753424" w:rsidRDefault="000140C9" w:rsidP="000140C9">
      <w:pPr>
        <w:ind w:left="991" w:right="423"/>
        <w:jc w:val="both"/>
        <w:rPr>
          <w:rFonts w:ascii="Arial" w:eastAsia="Arial" w:hAnsi="Arial" w:cs="Arial"/>
        </w:rPr>
      </w:pPr>
      <w:r w:rsidRPr="00753424">
        <w:rPr>
          <w:rFonts w:ascii="Arial" w:eastAsia="Arial" w:hAnsi="Arial" w:cs="Arial"/>
          <w:b/>
        </w:rPr>
        <w:t xml:space="preserve">Respuesta: </w:t>
      </w:r>
      <w:r w:rsidRPr="00753424">
        <w:rPr>
          <w:rFonts w:ascii="Arial" w:eastAsia="Arial" w:hAnsi="Arial" w:cs="Arial"/>
        </w:rPr>
        <w:t>No existe a la fecha ninguna otra unidad adscrita directamente a una vicerrectoría, salvo la Unidad de Gestión Ambiental y Seguridad Laboral (GASEL) a la Vicerrectoría de Administración y la Unidad TEC Digital al Vicerrector de Docencia.</w:t>
      </w:r>
    </w:p>
    <w:p w:rsidR="000140C9" w:rsidRPr="00753424" w:rsidRDefault="000140C9" w:rsidP="000140C9">
      <w:pPr>
        <w:pStyle w:val="Prrafodelista"/>
        <w:jc w:val="both"/>
        <w:rPr>
          <w:rFonts w:ascii="Arial" w:hAnsi="Arial" w:cs="Arial"/>
          <w:b/>
          <w:lang w:val="es-CR"/>
        </w:rPr>
      </w:pPr>
    </w:p>
    <w:p w:rsidR="000140C9" w:rsidRPr="000140C9" w:rsidRDefault="000140C9" w:rsidP="000140C9">
      <w:pPr>
        <w:pStyle w:val="Prrafodelista"/>
        <w:numPr>
          <w:ilvl w:val="0"/>
          <w:numId w:val="21"/>
        </w:numPr>
        <w:ind w:right="423"/>
        <w:jc w:val="both"/>
        <w:rPr>
          <w:rFonts w:ascii="Arial" w:eastAsia="Arial" w:hAnsi="Arial" w:cs="Arial"/>
        </w:rPr>
      </w:pPr>
      <w:r w:rsidRPr="00753424">
        <w:rPr>
          <w:rFonts w:ascii="Arial" w:eastAsia="Arial" w:hAnsi="Arial" w:cs="Arial"/>
        </w:rPr>
        <w:t xml:space="preserve">Encargar al Tribunal Institucional Electoral que, en el marco de sus competencias, </w:t>
      </w:r>
      <w:r w:rsidRPr="00753424">
        <w:rPr>
          <w:rFonts w:ascii="Arial" w:eastAsia="Calibri" w:hAnsi="Arial" w:cs="Arial"/>
          <w:bCs/>
          <w:lang w:eastAsia="en-US"/>
        </w:rPr>
        <w:t xml:space="preserve">analice </w:t>
      </w:r>
      <w:r>
        <w:rPr>
          <w:rFonts w:ascii="Arial" w:eastAsia="Calibri" w:hAnsi="Arial" w:cs="Arial"/>
          <w:bCs/>
          <w:lang w:eastAsia="en-US"/>
        </w:rPr>
        <w:t xml:space="preserve">sus actuaciones </w:t>
      </w:r>
      <w:r w:rsidRPr="00E26D35">
        <w:rPr>
          <w:rFonts w:ascii="Arial" w:eastAsia="Calibri" w:hAnsi="Arial" w:cs="Arial"/>
          <w:bCs/>
          <w:lang w:eastAsia="en-US"/>
        </w:rPr>
        <w:t xml:space="preserve">en los </w:t>
      </w:r>
      <w:r w:rsidRPr="00456E65">
        <w:rPr>
          <w:rFonts w:ascii="Arial" w:eastAsia="Calibri" w:hAnsi="Arial" w:cs="Arial"/>
          <w:bCs/>
          <w:lang w:eastAsia="en-US"/>
        </w:rPr>
        <w:t>procesos electorales que se desarrollaron</w:t>
      </w:r>
      <w:r>
        <w:rPr>
          <w:rFonts w:ascii="Arial" w:eastAsia="Calibri" w:hAnsi="Arial" w:cs="Arial"/>
          <w:bCs/>
          <w:lang w:eastAsia="en-US"/>
        </w:rPr>
        <w:t>,</w:t>
      </w:r>
      <w:r w:rsidRPr="00456E65">
        <w:rPr>
          <w:rFonts w:ascii="Arial" w:eastAsia="Calibri" w:hAnsi="Arial" w:cs="Arial"/>
          <w:bCs/>
          <w:lang w:eastAsia="en-US"/>
        </w:rPr>
        <w:t xml:space="preserve"> para la elección de los Coordinadores</w:t>
      </w:r>
      <w:r>
        <w:rPr>
          <w:rFonts w:ascii="Arial" w:eastAsia="Calibri" w:hAnsi="Arial" w:cs="Arial"/>
          <w:bCs/>
          <w:lang w:eastAsia="en-US"/>
        </w:rPr>
        <w:t xml:space="preserve"> </w:t>
      </w:r>
      <w:r w:rsidRPr="00456E65">
        <w:rPr>
          <w:rFonts w:ascii="Arial" w:eastAsia="Calibri" w:hAnsi="Arial" w:cs="Arial"/>
          <w:bCs/>
          <w:lang w:eastAsia="en-US"/>
        </w:rPr>
        <w:t xml:space="preserve">de </w:t>
      </w:r>
      <w:r w:rsidRPr="00456E65">
        <w:rPr>
          <w:rFonts w:ascii="Arial" w:eastAsia="Arial" w:hAnsi="Arial" w:cs="Arial"/>
        </w:rPr>
        <w:t>la Unidad de Gestión Ambiental y Seguridad Laboral (GASEL) y</w:t>
      </w:r>
      <w:r>
        <w:rPr>
          <w:rFonts w:ascii="Arial" w:eastAsia="Arial" w:hAnsi="Arial" w:cs="Arial"/>
        </w:rPr>
        <w:t xml:space="preserve"> la Unidad</w:t>
      </w:r>
      <w:r w:rsidRPr="00456E65">
        <w:rPr>
          <w:rFonts w:ascii="Arial" w:eastAsia="Arial" w:hAnsi="Arial" w:cs="Arial"/>
        </w:rPr>
        <w:t xml:space="preserve"> TEC Digital</w:t>
      </w:r>
      <w:r w:rsidRPr="00456E65">
        <w:rPr>
          <w:rFonts w:ascii="Arial" w:eastAsia="Calibri" w:hAnsi="Arial" w:cs="Arial"/>
          <w:bCs/>
          <w:lang w:eastAsia="en-US"/>
        </w:rPr>
        <w:t xml:space="preserve">, respectivamente, </w:t>
      </w:r>
      <w:r w:rsidRPr="00456E65">
        <w:rPr>
          <w:rFonts w:ascii="Arial" w:eastAsia="Arial" w:hAnsi="Arial" w:cs="Arial"/>
        </w:rPr>
        <w:t>y resuelva como en derecho corresponda.</w:t>
      </w:r>
    </w:p>
    <w:p w:rsidR="00452A39" w:rsidRDefault="00452A39" w:rsidP="00452A39">
      <w:pPr>
        <w:jc w:val="both"/>
        <w:rPr>
          <w:rFonts w:ascii="Arial" w:eastAsia="Cambria" w:hAnsi="Arial" w:cs="Arial"/>
          <w:lang w:val="es-ES_tradnl" w:eastAsia="en-US"/>
        </w:rPr>
      </w:pPr>
    </w:p>
    <w:p w:rsidR="00452A39" w:rsidRPr="000140C9" w:rsidRDefault="00452A39" w:rsidP="000140C9">
      <w:pPr>
        <w:pStyle w:val="Prrafodelista"/>
        <w:numPr>
          <w:ilvl w:val="0"/>
          <w:numId w:val="21"/>
        </w:numPr>
        <w:ind w:right="423"/>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140C9" w:rsidRPr="0085235D" w:rsidRDefault="000140C9" w:rsidP="000140C9">
      <w:pPr>
        <w:spacing w:after="160" w:line="252" w:lineRule="auto"/>
        <w:contextualSpacing/>
        <w:jc w:val="both"/>
        <w:rPr>
          <w:rFonts w:ascii="Arial" w:hAnsi="Arial" w:cs="Arial"/>
        </w:rPr>
      </w:pPr>
    </w:p>
    <w:p w:rsidR="00253D00" w:rsidRPr="000140C9" w:rsidRDefault="000140C9" w:rsidP="000140C9">
      <w:pPr>
        <w:ind w:right="423"/>
        <w:jc w:val="both"/>
        <w:rPr>
          <w:rFonts w:ascii="Arial" w:eastAsia="Arial" w:hAnsi="Arial" w:cs="Arial"/>
          <w:b/>
          <w:sz w:val="18"/>
          <w:szCs w:val="18"/>
        </w:rPr>
      </w:pPr>
      <w:r w:rsidRPr="000140C9">
        <w:rPr>
          <w:rFonts w:ascii="Arial" w:eastAsia="Arial" w:hAnsi="Arial" w:cs="Arial"/>
          <w:b/>
          <w:sz w:val="18"/>
          <w:szCs w:val="18"/>
        </w:rPr>
        <w:t>Palabras clave:  Respuesta -TIE oficio 325-2018</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B90A66">
        <w:trPr>
          <w:trHeight w:val="183"/>
        </w:trPr>
        <w:tc>
          <w:tcPr>
            <w:tcW w:w="4361" w:type="dxa"/>
          </w:tcPr>
          <w:p w:rsidR="00F4695B" w:rsidRPr="00474B22" w:rsidRDefault="00F4695B" w:rsidP="00B90A66">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D23962" w:rsidP="00EB0F82">
      <w:pPr>
        <w:jc w:val="both"/>
        <w:rPr>
          <w:rFonts w:ascii="Arial" w:eastAsia="Cambria" w:hAnsi="Arial" w:cs="Arial"/>
          <w:b/>
          <w:sz w:val="16"/>
          <w:szCs w:val="16"/>
          <w:lang w:val="es-ES_tradnl" w:eastAsia="en-US"/>
        </w:rPr>
      </w:pPr>
    </w:p>
    <w:p w:rsidR="00CE458D" w:rsidRDefault="00CE458D" w:rsidP="00CE458D">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bookmarkStart w:id="1" w:name="_GoBack"/>
      <w:bookmarkEnd w:id="1"/>
    </w:p>
    <w:p w:rsidR="00681CAC" w:rsidRPr="00681CAC" w:rsidRDefault="00AF2CB3" w:rsidP="00E65AB9">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E00132" w:rsidRPr="00681CAC" w:rsidRDefault="00E00132" w:rsidP="00F41044">
      <w:pPr>
        <w:jc w:val="both"/>
        <w:rPr>
          <w:rFonts w:ascii="Arial" w:eastAsia="Cambria" w:hAnsi="Arial" w:cs="Arial"/>
          <w:b/>
          <w:lang w:val="es-CR"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E8" w:rsidRDefault="00C87AE8">
      <w:r>
        <w:separator/>
      </w:r>
    </w:p>
  </w:endnote>
  <w:endnote w:type="continuationSeparator" w:id="0">
    <w:p w:rsidR="00C87AE8" w:rsidRDefault="00C8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E8" w:rsidRDefault="00C87AE8">
      <w:r>
        <w:separator/>
      </w:r>
    </w:p>
  </w:footnote>
  <w:footnote w:type="continuationSeparator" w:id="0">
    <w:p w:rsidR="00C87AE8" w:rsidRDefault="00C8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90A66">
      <w:rPr>
        <w:rFonts w:ascii="Arial" w:eastAsia="Cambria" w:hAnsi="Arial" w:cs="Arial"/>
        <w:i/>
        <w:sz w:val="18"/>
        <w:szCs w:val="18"/>
        <w:lang w:val="es-ES_tradnl" w:eastAsia="x-none"/>
      </w:rPr>
      <w:t>7</w:t>
    </w:r>
    <w:r w:rsidR="00685A65">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AF5AF3">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85A65">
      <w:rPr>
        <w:rFonts w:ascii="Arial" w:eastAsia="Cambria" w:hAnsi="Arial" w:cs="Arial"/>
        <w:i/>
        <w:sz w:val="18"/>
        <w:szCs w:val="18"/>
        <w:lang w:val="es-ES_tradnl" w:eastAsia="x-none"/>
      </w:rPr>
      <w:t>20</w:t>
    </w:r>
    <w:r w:rsidR="00C55D84">
      <w:rPr>
        <w:rFonts w:ascii="Arial" w:eastAsia="Cambria" w:hAnsi="Arial" w:cs="Arial"/>
        <w:i/>
        <w:sz w:val="18"/>
        <w:szCs w:val="18"/>
        <w:lang w:val="es-ES_tradnl" w:eastAsia="x-none"/>
      </w:rPr>
      <w:t xml:space="preserve"> de </w:t>
    </w:r>
    <w:r w:rsidR="00AF5AF3">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140C9">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46471EF"/>
    <w:multiLevelType w:val="hybridMultilevel"/>
    <w:tmpl w:val="A4CCB84A"/>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394579"/>
    <w:multiLevelType w:val="hybridMultilevel"/>
    <w:tmpl w:val="A962B4A2"/>
    <w:lvl w:ilvl="0" w:tplc="2ABCBBFE">
      <w:start w:val="1"/>
      <w:numFmt w:val="lowerLetter"/>
      <w:lvlText w:val="%1."/>
      <w:lvlJc w:val="left"/>
      <w:pPr>
        <w:ind w:left="1211" w:hanging="360"/>
      </w:pPr>
      <w:rPr>
        <w:b w:val="0"/>
        <w:i w:val="0"/>
      </w:rPr>
    </w:lvl>
    <w:lvl w:ilvl="1" w:tplc="140A0019">
      <w:start w:val="1"/>
      <w:numFmt w:val="lowerLetter"/>
      <w:lvlText w:val="%2."/>
      <w:lvlJc w:val="left"/>
      <w:pPr>
        <w:ind w:left="1931" w:hanging="360"/>
      </w:pPr>
    </w:lvl>
    <w:lvl w:ilvl="2" w:tplc="140A001B">
      <w:start w:val="1"/>
      <w:numFmt w:val="lowerRoman"/>
      <w:lvlText w:val="%3."/>
      <w:lvlJc w:val="right"/>
      <w:pPr>
        <w:ind w:left="2651" w:hanging="180"/>
      </w:pPr>
    </w:lvl>
    <w:lvl w:ilvl="3" w:tplc="140A000F">
      <w:start w:val="1"/>
      <w:numFmt w:val="decimal"/>
      <w:lvlText w:val="%4."/>
      <w:lvlJc w:val="left"/>
      <w:pPr>
        <w:ind w:left="3371" w:hanging="360"/>
      </w:pPr>
    </w:lvl>
    <w:lvl w:ilvl="4" w:tplc="140A0019">
      <w:start w:val="1"/>
      <w:numFmt w:val="lowerLetter"/>
      <w:lvlText w:val="%5."/>
      <w:lvlJc w:val="left"/>
      <w:pPr>
        <w:ind w:left="4091" w:hanging="360"/>
      </w:pPr>
    </w:lvl>
    <w:lvl w:ilvl="5" w:tplc="140A001B">
      <w:start w:val="1"/>
      <w:numFmt w:val="lowerRoman"/>
      <w:lvlText w:val="%6."/>
      <w:lvlJc w:val="right"/>
      <w:pPr>
        <w:ind w:left="4811" w:hanging="180"/>
      </w:pPr>
    </w:lvl>
    <w:lvl w:ilvl="6" w:tplc="140A000F">
      <w:start w:val="1"/>
      <w:numFmt w:val="decimal"/>
      <w:lvlText w:val="%7."/>
      <w:lvlJc w:val="left"/>
      <w:pPr>
        <w:ind w:left="5531" w:hanging="360"/>
      </w:pPr>
    </w:lvl>
    <w:lvl w:ilvl="7" w:tplc="140A0019">
      <w:start w:val="1"/>
      <w:numFmt w:val="lowerLetter"/>
      <w:lvlText w:val="%8."/>
      <w:lvlJc w:val="left"/>
      <w:pPr>
        <w:ind w:left="6251" w:hanging="360"/>
      </w:pPr>
    </w:lvl>
    <w:lvl w:ilvl="8" w:tplc="140A001B">
      <w:start w:val="1"/>
      <w:numFmt w:val="lowerRoman"/>
      <w:lvlText w:val="%9."/>
      <w:lvlJc w:val="right"/>
      <w:pPr>
        <w:ind w:left="6971" w:hanging="180"/>
      </w:pPr>
    </w:lvl>
  </w:abstractNum>
  <w:abstractNum w:abstractNumId="5" w15:restartNumberingAfterBreak="0">
    <w:nsid w:val="27E243D8"/>
    <w:multiLevelType w:val="hybridMultilevel"/>
    <w:tmpl w:val="4B7C5AEE"/>
    <w:lvl w:ilvl="0" w:tplc="EEA6FF7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2DDD2BE1"/>
    <w:multiLevelType w:val="hybridMultilevel"/>
    <w:tmpl w:val="4AD40308"/>
    <w:lvl w:ilvl="0" w:tplc="140A000F">
      <w:start w:val="1"/>
      <w:numFmt w:val="decimal"/>
      <w:lvlText w:val="%1."/>
      <w:lvlJc w:val="left"/>
      <w:pPr>
        <w:ind w:left="502" w:hanging="360"/>
      </w:pPr>
    </w:lvl>
    <w:lvl w:ilvl="1" w:tplc="140A0019">
      <w:start w:val="1"/>
      <w:numFmt w:val="lowerLetter"/>
      <w:lvlText w:val="%2."/>
      <w:lvlJc w:val="left"/>
      <w:pPr>
        <w:ind w:left="1222" w:hanging="360"/>
      </w:pPr>
    </w:lvl>
    <w:lvl w:ilvl="2" w:tplc="140A001B">
      <w:start w:val="1"/>
      <w:numFmt w:val="lowerRoman"/>
      <w:lvlText w:val="%3."/>
      <w:lvlJc w:val="right"/>
      <w:pPr>
        <w:ind w:left="1942" w:hanging="180"/>
      </w:pPr>
    </w:lvl>
    <w:lvl w:ilvl="3" w:tplc="140A000F">
      <w:start w:val="1"/>
      <w:numFmt w:val="decimal"/>
      <w:lvlText w:val="%4."/>
      <w:lvlJc w:val="left"/>
      <w:pPr>
        <w:ind w:left="2662" w:hanging="360"/>
      </w:pPr>
    </w:lvl>
    <w:lvl w:ilvl="4" w:tplc="140A0019">
      <w:start w:val="1"/>
      <w:numFmt w:val="lowerLetter"/>
      <w:lvlText w:val="%5."/>
      <w:lvlJc w:val="left"/>
      <w:pPr>
        <w:ind w:left="3382" w:hanging="360"/>
      </w:pPr>
    </w:lvl>
    <w:lvl w:ilvl="5" w:tplc="140A001B">
      <w:start w:val="1"/>
      <w:numFmt w:val="lowerRoman"/>
      <w:lvlText w:val="%6."/>
      <w:lvlJc w:val="right"/>
      <w:pPr>
        <w:ind w:left="4102" w:hanging="180"/>
      </w:pPr>
    </w:lvl>
    <w:lvl w:ilvl="6" w:tplc="140A000F">
      <w:start w:val="1"/>
      <w:numFmt w:val="decimal"/>
      <w:lvlText w:val="%7."/>
      <w:lvlJc w:val="left"/>
      <w:pPr>
        <w:ind w:left="4822" w:hanging="360"/>
      </w:pPr>
    </w:lvl>
    <w:lvl w:ilvl="7" w:tplc="140A0019">
      <w:start w:val="1"/>
      <w:numFmt w:val="lowerLetter"/>
      <w:lvlText w:val="%8."/>
      <w:lvlJc w:val="left"/>
      <w:pPr>
        <w:ind w:left="5542" w:hanging="360"/>
      </w:pPr>
    </w:lvl>
    <w:lvl w:ilvl="8" w:tplc="140A001B">
      <w:start w:val="1"/>
      <w:numFmt w:val="lowerRoman"/>
      <w:lvlText w:val="%9."/>
      <w:lvlJc w:val="right"/>
      <w:pPr>
        <w:ind w:left="6262"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817037D"/>
    <w:multiLevelType w:val="hybridMultilevel"/>
    <w:tmpl w:val="79A41D9A"/>
    <w:lvl w:ilvl="0" w:tplc="14901B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8254B5"/>
    <w:multiLevelType w:val="hybridMultilevel"/>
    <w:tmpl w:val="039CCB3C"/>
    <w:lvl w:ilvl="0" w:tplc="162E3384">
      <w:start w:val="1"/>
      <w:numFmt w:val="decimal"/>
      <w:lvlText w:val="%1."/>
      <w:lvlJc w:val="left"/>
      <w:pPr>
        <w:ind w:left="6314"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15B14ED"/>
    <w:multiLevelType w:val="hybridMultilevel"/>
    <w:tmpl w:val="C6B837CE"/>
    <w:lvl w:ilvl="0" w:tplc="6206F586">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3C4F49"/>
    <w:multiLevelType w:val="hybridMultilevel"/>
    <w:tmpl w:val="445257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6A47C2"/>
    <w:multiLevelType w:val="hybridMultilevel"/>
    <w:tmpl w:val="039CCB3C"/>
    <w:lvl w:ilvl="0" w:tplc="162E338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5C740DFF"/>
    <w:multiLevelType w:val="hybridMultilevel"/>
    <w:tmpl w:val="1738FDB4"/>
    <w:lvl w:ilvl="0" w:tplc="7844482A">
      <w:start w:val="1"/>
      <w:numFmt w:val="decimal"/>
      <w:lvlText w:val="%1."/>
      <w:lvlJc w:val="left"/>
      <w:pPr>
        <w:ind w:left="720"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4A72B3"/>
    <w:multiLevelType w:val="hybridMultilevel"/>
    <w:tmpl w:val="80E8D86E"/>
    <w:lvl w:ilvl="0" w:tplc="6BE4945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EC5D64"/>
    <w:multiLevelType w:val="hybridMultilevel"/>
    <w:tmpl w:val="D318E652"/>
    <w:lvl w:ilvl="0" w:tplc="60B21C56">
      <w:start w:val="1"/>
      <w:numFmt w:val="lowerLetter"/>
      <w:lvlText w:val="%1."/>
      <w:lvlJc w:val="left"/>
      <w:pPr>
        <w:ind w:left="9291" w:hanging="360"/>
      </w:pPr>
      <w:rPr>
        <w:b/>
        <w:strike w:val="0"/>
        <w:sz w:val="24"/>
        <w:szCs w:val="24"/>
      </w:rPr>
    </w:lvl>
    <w:lvl w:ilvl="1" w:tplc="140A0019" w:tentative="1">
      <w:start w:val="1"/>
      <w:numFmt w:val="lowerLetter"/>
      <w:lvlText w:val="%2."/>
      <w:lvlJc w:val="left"/>
      <w:pPr>
        <w:ind w:left="10011" w:hanging="360"/>
      </w:pPr>
    </w:lvl>
    <w:lvl w:ilvl="2" w:tplc="140A001B" w:tentative="1">
      <w:start w:val="1"/>
      <w:numFmt w:val="lowerRoman"/>
      <w:lvlText w:val="%3."/>
      <w:lvlJc w:val="right"/>
      <w:pPr>
        <w:ind w:left="10731" w:hanging="180"/>
      </w:pPr>
    </w:lvl>
    <w:lvl w:ilvl="3" w:tplc="140A000F" w:tentative="1">
      <w:start w:val="1"/>
      <w:numFmt w:val="decimal"/>
      <w:lvlText w:val="%4."/>
      <w:lvlJc w:val="left"/>
      <w:pPr>
        <w:ind w:left="11451" w:hanging="360"/>
      </w:pPr>
    </w:lvl>
    <w:lvl w:ilvl="4" w:tplc="140A0019" w:tentative="1">
      <w:start w:val="1"/>
      <w:numFmt w:val="lowerLetter"/>
      <w:lvlText w:val="%5."/>
      <w:lvlJc w:val="left"/>
      <w:pPr>
        <w:ind w:left="12171" w:hanging="360"/>
      </w:pPr>
    </w:lvl>
    <w:lvl w:ilvl="5" w:tplc="140A001B" w:tentative="1">
      <w:start w:val="1"/>
      <w:numFmt w:val="lowerRoman"/>
      <w:lvlText w:val="%6."/>
      <w:lvlJc w:val="right"/>
      <w:pPr>
        <w:ind w:left="12891" w:hanging="180"/>
      </w:pPr>
    </w:lvl>
    <w:lvl w:ilvl="6" w:tplc="140A000F" w:tentative="1">
      <w:start w:val="1"/>
      <w:numFmt w:val="decimal"/>
      <w:lvlText w:val="%7."/>
      <w:lvlJc w:val="left"/>
      <w:pPr>
        <w:ind w:left="13611" w:hanging="360"/>
      </w:pPr>
    </w:lvl>
    <w:lvl w:ilvl="7" w:tplc="140A0019" w:tentative="1">
      <w:start w:val="1"/>
      <w:numFmt w:val="lowerLetter"/>
      <w:lvlText w:val="%8."/>
      <w:lvlJc w:val="left"/>
      <w:pPr>
        <w:ind w:left="14331" w:hanging="360"/>
      </w:pPr>
    </w:lvl>
    <w:lvl w:ilvl="8" w:tplc="140A001B" w:tentative="1">
      <w:start w:val="1"/>
      <w:numFmt w:val="lowerRoman"/>
      <w:lvlText w:val="%9."/>
      <w:lvlJc w:val="right"/>
      <w:pPr>
        <w:ind w:left="15051" w:hanging="180"/>
      </w:pPr>
    </w:lvl>
  </w:abstractNum>
  <w:abstractNum w:abstractNumId="18" w15:restartNumberingAfterBreak="0">
    <w:nsid w:val="71DC5D98"/>
    <w:multiLevelType w:val="hybridMultilevel"/>
    <w:tmpl w:val="E8AA50CA"/>
    <w:lvl w:ilvl="0" w:tplc="C7709866">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3"/>
  </w:num>
  <w:num w:numId="5">
    <w:abstractNumId w:val="16"/>
  </w:num>
  <w:num w:numId="6">
    <w:abstractNumId w:val="17"/>
  </w:num>
  <w:num w:numId="7">
    <w:abstractNumId w:val="10"/>
  </w:num>
  <w:num w:numId="8">
    <w:abstractNumId w:val="1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1"/>
  </w:num>
  <w:num w:numId="16">
    <w:abstractNumId w:val="8"/>
  </w:num>
  <w:num w:numId="17">
    <w:abstractNumId w:val="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40C9"/>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72A"/>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4BC3"/>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00"/>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E7A"/>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20A"/>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BAD"/>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2A39"/>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18EF"/>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153E"/>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52AB"/>
    <w:rsid w:val="005D6B49"/>
    <w:rsid w:val="005D6EFD"/>
    <w:rsid w:val="005E06F0"/>
    <w:rsid w:val="005E10A2"/>
    <w:rsid w:val="005E1B2D"/>
    <w:rsid w:val="005E3547"/>
    <w:rsid w:val="005E4831"/>
    <w:rsid w:val="005E6C51"/>
    <w:rsid w:val="005E6F3F"/>
    <w:rsid w:val="005E779D"/>
    <w:rsid w:val="005F18E0"/>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2D29"/>
    <w:rsid w:val="00653936"/>
    <w:rsid w:val="00656B1D"/>
    <w:rsid w:val="006574D4"/>
    <w:rsid w:val="00661406"/>
    <w:rsid w:val="00662142"/>
    <w:rsid w:val="00664E8B"/>
    <w:rsid w:val="00665335"/>
    <w:rsid w:val="0066604E"/>
    <w:rsid w:val="0066690B"/>
    <w:rsid w:val="00672900"/>
    <w:rsid w:val="00672D32"/>
    <w:rsid w:val="0067394A"/>
    <w:rsid w:val="00675C04"/>
    <w:rsid w:val="00676630"/>
    <w:rsid w:val="00676DF3"/>
    <w:rsid w:val="00681CAC"/>
    <w:rsid w:val="0068346A"/>
    <w:rsid w:val="006842AD"/>
    <w:rsid w:val="006851C8"/>
    <w:rsid w:val="0068595E"/>
    <w:rsid w:val="00685A65"/>
    <w:rsid w:val="006862AA"/>
    <w:rsid w:val="006871B3"/>
    <w:rsid w:val="00691130"/>
    <w:rsid w:val="006938F4"/>
    <w:rsid w:val="006976E0"/>
    <w:rsid w:val="00697DAB"/>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3CC8"/>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AB6"/>
    <w:rsid w:val="00821E37"/>
    <w:rsid w:val="00823CC6"/>
    <w:rsid w:val="00825809"/>
    <w:rsid w:val="00825F93"/>
    <w:rsid w:val="00831982"/>
    <w:rsid w:val="0083257F"/>
    <w:rsid w:val="00835E65"/>
    <w:rsid w:val="00836144"/>
    <w:rsid w:val="00837AFC"/>
    <w:rsid w:val="00841F61"/>
    <w:rsid w:val="008434BA"/>
    <w:rsid w:val="00845D24"/>
    <w:rsid w:val="00845DBC"/>
    <w:rsid w:val="00846266"/>
    <w:rsid w:val="00851093"/>
    <w:rsid w:val="008517A6"/>
    <w:rsid w:val="008522DF"/>
    <w:rsid w:val="0085235D"/>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328A"/>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07DA6"/>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97D84"/>
    <w:rsid w:val="00AA0A77"/>
    <w:rsid w:val="00AA4A78"/>
    <w:rsid w:val="00AA5259"/>
    <w:rsid w:val="00AA542A"/>
    <w:rsid w:val="00AA7CF3"/>
    <w:rsid w:val="00AB0454"/>
    <w:rsid w:val="00AB1D20"/>
    <w:rsid w:val="00AB4A79"/>
    <w:rsid w:val="00AC2FB3"/>
    <w:rsid w:val="00AC6805"/>
    <w:rsid w:val="00AD394D"/>
    <w:rsid w:val="00AD5306"/>
    <w:rsid w:val="00AD6483"/>
    <w:rsid w:val="00AD7835"/>
    <w:rsid w:val="00AE0779"/>
    <w:rsid w:val="00AE2D5A"/>
    <w:rsid w:val="00AE2F65"/>
    <w:rsid w:val="00AE36D5"/>
    <w:rsid w:val="00AE6733"/>
    <w:rsid w:val="00AE6DB1"/>
    <w:rsid w:val="00AF2316"/>
    <w:rsid w:val="00AF2CB3"/>
    <w:rsid w:val="00AF3280"/>
    <w:rsid w:val="00AF34C9"/>
    <w:rsid w:val="00AF49E9"/>
    <w:rsid w:val="00AF5ACF"/>
    <w:rsid w:val="00AF5AF3"/>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4B23"/>
    <w:rsid w:val="00B65D67"/>
    <w:rsid w:val="00B70E30"/>
    <w:rsid w:val="00B715D6"/>
    <w:rsid w:val="00B7167E"/>
    <w:rsid w:val="00B7392D"/>
    <w:rsid w:val="00B74005"/>
    <w:rsid w:val="00B80A64"/>
    <w:rsid w:val="00B80D70"/>
    <w:rsid w:val="00B83213"/>
    <w:rsid w:val="00B84CA4"/>
    <w:rsid w:val="00B87D56"/>
    <w:rsid w:val="00B9004B"/>
    <w:rsid w:val="00B904C4"/>
    <w:rsid w:val="00B90A66"/>
    <w:rsid w:val="00B90CD4"/>
    <w:rsid w:val="00B91F8D"/>
    <w:rsid w:val="00B93728"/>
    <w:rsid w:val="00B93D3F"/>
    <w:rsid w:val="00B9565B"/>
    <w:rsid w:val="00B95CBE"/>
    <w:rsid w:val="00B975EE"/>
    <w:rsid w:val="00B97900"/>
    <w:rsid w:val="00BA14F1"/>
    <w:rsid w:val="00BA1AB4"/>
    <w:rsid w:val="00BA2DD4"/>
    <w:rsid w:val="00BA42F7"/>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3FF6"/>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1AC9"/>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87AE8"/>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458D"/>
    <w:rsid w:val="00CE5E1A"/>
    <w:rsid w:val="00CE6A7A"/>
    <w:rsid w:val="00CE7F7E"/>
    <w:rsid w:val="00CF025B"/>
    <w:rsid w:val="00CF0602"/>
    <w:rsid w:val="00CF1711"/>
    <w:rsid w:val="00CF1C87"/>
    <w:rsid w:val="00CF1E9D"/>
    <w:rsid w:val="00CF216E"/>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A4B88"/>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65AB9"/>
    <w:rsid w:val="00E718A6"/>
    <w:rsid w:val="00E80FBE"/>
    <w:rsid w:val="00E81E9F"/>
    <w:rsid w:val="00E82183"/>
    <w:rsid w:val="00E84C74"/>
    <w:rsid w:val="00E85F6A"/>
    <w:rsid w:val="00E909DA"/>
    <w:rsid w:val="00E9331A"/>
    <w:rsid w:val="00E96B6D"/>
    <w:rsid w:val="00E97E4C"/>
    <w:rsid w:val="00E97F75"/>
    <w:rsid w:val="00EA1870"/>
    <w:rsid w:val="00EA406F"/>
    <w:rsid w:val="00EA5044"/>
    <w:rsid w:val="00EA6E92"/>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4B41"/>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2810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F18E0"/>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5322-E345-4291-BD94-B715D7BC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2018-06-06T19:59:00Z</cp:lastPrinted>
  <dcterms:created xsi:type="dcterms:W3CDTF">2018-06-21T15:03:00Z</dcterms:created>
  <dcterms:modified xsi:type="dcterms:W3CDTF">2018-06-21T15:03:00Z</dcterms:modified>
</cp:coreProperties>
</file>