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F4255">
        <w:rPr>
          <w:rFonts w:ascii="Arial" w:hAnsi="Arial" w:cs="Arial"/>
          <w:b/>
          <w:bCs/>
          <w:iCs/>
          <w:sz w:val="26"/>
          <w:szCs w:val="22"/>
          <w:lang w:val="es-CR"/>
        </w:rPr>
        <w:t>352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lang w:val="es-ES_tradnl" w:eastAsia="en-US"/>
              </w:rPr>
            </w:pPr>
            <w:r w:rsidRPr="00A7170F">
              <w:rPr>
                <w:rFonts w:ascii="Arial" w:eastAsia="Cambria" w:hAnsi="Arial" w:cs="Arial"/>
                <w:lang w:val="es-ES_tradnl" w:eastAsia="en-US"/>
              </w:rPr>
              <w:t>Dr. Julio Calvo Alvarado</w:t>
            </w:r>
            <w:r w:rsidR="0090700F" w:rsidRPr="00A7170F">
              <w:rPr>
                <w:rFonts w:ascii="Arial" w:eastAsia="Cambria" w:hAnsi="Arial" w:cs="Arial"/>
                <w:lang w:val="es-ES_tradnl" w:eastAsia="en-US"/>
              </w:rPr>
              <w:t>, Rector</w:t>
            </w:r>
            <w:r w:rsidR="00974D66" w:rsidRPr="00A7170F">
              <w:rPr>
                <w:rFonts w:ascii="Arial" w:eastAsia="Cambria" w:hAnsi="Arial" w:cs="Arial"/>
                <w:lang w:val="es-ES_tradnl" w:eastAsia="en-US"/>
              </w:rPr>
              <w:t xml:space="preserve"> </w:t>
            </w:r>
          </w:p>
          <w:p w:rsidR="00BF4255" w:rsidRDefault="00BF4255" w:rsidP="00337455">
            <w:pPr>
              <w:jc w:val="both"/>
              <w:rPr>
                <w:rFonts w:ascii="Arial" w:eastAsia="Cambria" w:hAnsi="Arial" w:cs="Arial"/>
                <w:lang w:val="es-ES_tradnl" w:eastAsia="en-US"/>
              </w:rPr>
            </w:pPr>
            <w:r>
              <w:rPr>
                <w:rFonts w:ascii="Arial" w:eastAsia="Cambria" w:hAnsi="Arial" w:cs="Arial"/>
                <w:lang w:val="es-ES_tradnl" w:eastAsia="en-US"/>
              </w:rPr>
              <w:t>Dr. Humberto Villalta Solano, Vicerrector de Administración</w:t>
            </w:r>
          </w:p>
          <w:p w:rsidR="00BF4255" w:rsidRDefault="00BF4255" w:rsidP="00337455">
            <w:pPr>
              <w:jc w:val="both"/>
              <w:rPr>
                <w:rFonts w:ascii="Arial" w:eastAsia="Cambria" w:hAnsi="Arial" w:cs="Arial"/>
                <w:lang w:val="es-ES_tradnl" w:eastAsia="en-US"/>
              </w:rPr>
            </w:pPr>
            <w:r>
              <w:rPr>
                <w:rFonts w:ascii="Arial" w:eastAsia="Cambria" w:hAnsi="Arial" w:cs="Arial"/>
                <w:lang w:val="es-ES_tradnl" w:eastAsia="en-US"/>
              </w:rPr>
              <w:t>Licda. Silvia Watson Araya, Directora Departamento Financiero Contable</w:t>
            </w:r>
          </w:p>
          <w:p w:rsidR="00BF4255" w:rsidRDefault="00BF4255" w:rsidP="00337455">
            <w:pPr>
              <w:jc w:val="both"/>
              <w:rPr>
                <w:rFonts w:ascii="Arial" w:eastAsia="Cambria" w:hAnsi="Arial" w:cs="Arial"/>
                <w:lang w:val="es-ES_tradnl" w:eastAsia="en-US"/>
              </w:rPr>
            </w:pPr>
            <w:r>
              <w:rPr>
                <w:rFonts w:ascii="Arial" w:eastAsia="Cambria" w:hAnsi="Arial" w:cs="Arial"/>
                <w:lang w:val="es-ES_tradnl" w:eastAsia="en-US"/>
              </w:rPr>
              <w:t>Lic. Isidro Álvarez Salazar, Auditor Interno</w:t>
            </w:r>
          </w:p>
          <w:p w:rsidR="000E4C68" w:rsidRPr="00336F05" w:rsidRDefault="000E4C68" w:rsidP="00FF72C8">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A7170F" w:rsidRDefault="00C55D84" w:rsidP="00841F61">
            <w:pPr>
              <w:ind w:left="45"/>
              <w:jc w:val="both"/>
              <w:rPr>
                <w:rFonts w:ascii="Arial" w:eastAsia="Cambria" w:hAnsi="Arial" w:cs="Arial"/>
                <w:lang w:val="es-ES_tradnl" w:eastAsia="en-US"/>
              </w:rPr>
            </w:pPr>
            <w:r w:rsidRPr="00A7170F">
              <w:rPr>
                <w:rFonts w:ascii="Arial" w:eastAsia="Cambria" w:hAnsi="Arial" w:cs="Arial"/>
                <w:lang w:val="es-ES_tradnl" w:eastAsia="en-US"/>
              </w:rPr>
              <w:t>M</w:t>
            </w:r>
            <w:r w:rsidR="003859C1" w:rsidRPr="00A7170F">
              <w:rPr>
                <w:rFonts w:ascii="Arial" w:eastAsia="Cambria" w:hAnsi="Arial" w:cs="Arial"/>
                <w:lang w:val="es-ES_tradnl" w:eastAsia="en-US"/>
              </w:rPr>
              <w:t>.A.E.</w:t>
            </w:r>
            <w:r w:rsidRPr="00A7170F">
              <w:rPr>
                <w:rFonts w:ascii="Arial" w:eastAsia="Cambria" w:hAnsi="Arial" w:cs="Arial"/>
                <w:lang w:val="es-ES_tradnl" w:eastAsia="en-US"/>
              </w:rPr>
              <w:t xml:space="preserve"> Ana Damaris Quesada Murillo</w:t>
            </w:r>
            <w:r w:rsidR="00841F61" w:rsidRPr="00A7170F">
              <w:rPr>
                <w:rFonts w:ascii="Arial" w:eastAsia="Cambria" w:hAnsi="Arial" w:cs="Arial"/>
                <w:lang w:val="es-ES_tradnl" w:eastAsia="en-US"/>
              </w:rPr>
              <w:t>, Directora Ejecutiva</w:t>
            </w:r>
          </w:p>
          <w:p w:rsidR="007742A1" w:rsidRPr="00A7170F" w:rsidRDefault="00880D5D" w:rsidP="00AC372A">
            <w:pPr>
              <w:ind w:left="45"/>
              <w:jc w:val="both"/>
              <w:rPr>
                <w:rFonts w:ascii="Arial" w:eastAsia="Cambria" w:hAnsi="Arial" w:cs="Arial"/>
                <w:lang w:val="es-ES_tradnl" w:eastAsia="en-US"/>
              </w:rPr>
            </w:pPr>
            <w:r w:rsidRPr="00A7170F">
              <w:rPr>
                <w:rFonts w:ascii="Arial" w:eastAsia="Cambria" w:hAnsi="Arial" w:cs="Arial"/>
                <w:lang w:val="es-ES_tradnl" w:eastAsia="en-US"/>
              </w:rPr>
              <w:t xml:space="preserve">Secretaría del </w:t>
            </w:r>
            <w:r w:rsidR="00841F61" w:rsidRPr="00A7170F">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Default="00FF72C8" w:rsidP="000B5852">
            <w:pPr>
              <w:jc w:val="both"/>
              <w:rPr>
                <w:rFonts w:ascii="Arial" w:eastAsia="Cambria" w:hAnsi="Arial" w:cs="Arial"/>
                <w:b/>
                <w:lang w:val="es-ES_tradnl" w:eastAsia="en-US"/>
              </w:rPr>
            </w:pPr>
            <w:r>
              <w:rPr>
                <w:rFonts w:ascii="Arial" w:eastAsia="Cambria" w:hAnsi="Arial" w:cs="Arial"/>
                <w:b/>
                <w:lang w:val="es-ES_tradnl" w:eastAsia="en-US"/>
              </w:rPr>
              <w:t>17</w:t>
            </w:r>
            <w:r w:rsidR="00C001DF" w:rsidRPr="00A7170F">
              <w:rPr>
                <w:rFonts w:ascii="Arial" w:eastAsia="Cambria" w:hAnsi="Arial" w:cs="Arial"/>
                <w:b/>
                <w:lang w:val="es-ES_tradnl" w:eastAsia="en-US"/>
              </w:rPr>
              <w:t xml:space="preserve"> </w:t>
            </w:r>
            <w:r w:rsidR="007742A1" w:rsidRPr="00A7170F">
              <w:rPr>
                <w:rFonts w:ascii="Arial" w:eastAsia="Cambria" w:hAnsi="Arial" w:cs="Arial"/>
                <w:b/>
                <w:lang w:val="es-ES_tradnl" w:eastAsia="en-US"/>
              </w:rPr>
              <w:t xml:space="preserve">de </w:t>
            </w:r>
            <w:r w:rsidR="00BA51C3">
              <w:rPr>
                <w:rFonts w:ascii="Arial" w:eastAsia="Cambria" w:hAnsi="Arial" w:cs="Arial"/>
                <w:b/>
                <w:lang w:val="es-ES_tradnl" w:eastAsia="en-US"/>
              </w:rPr>
              <w:t>mayo</w:t>
            </w:r>
            <w:r w:rsidR="007742A1" w:rsidRPr="00A7170F">
              <w:rPr>
                <w:rFonts w:ascii="Arial" w:eastAsia="Cambria" w:hAnsi="Arial" w:cs="Arial"/>
                <w:b/>
                <w:lang w:val="es-ES_tradnl" w:eastAsia="en-US"/>
              </w:rPr>
              <w:t xml:space="preserve"> de 201</w:t>
            </w:r>
            <w:r w:rsidR="003B6DC0" w:rsidRPr="00A7170F">
              <w:rPr>
                <w:rFonts w:ascii="Arial" w:eastAsia="Cambria" w:hAnsi="Arial" w:cs="Arial"/>
                <w:b/>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A7170F" w:rsidRDefault="007742A1" w:rsidP="00FF72C8">
            <w:pPr>
              <w:jc w:val="both"/>
              <w:rPr>
                <w:rFonts w:ascii="Arial" w:eastAsia="Cambria" w:hAnsi="Arial" w:cs="Arial"/>
                <w:b/>
                <w:highlight w:val="yellow"/>
                <w:lang w:val="es-CR" w:eastAsia="en-US"/>
              </w:rPr>
            </w:pPr>
            <w:r w:rsidRPr="00A7170F">
              <w:rPr>
                <w:rFonts w:ascii="Arial" w:eastAsia="Calibri" w:hAnsi="Arial" w:cs="Arial"/>
                <w:b/>
              </w:rPr>
              <w:t xml:space="preserve">Sesión Ordinaria No. </w:t>
            </w:r>
            <w:r w:rsidR="00337455" w:rsidRPr="00A7170F">
              <w:rPr>
                <w:rFonts w:ascii="Arial" w:eastAsia="Calibri" w:hAnsi="Arial" w:cs="Arial"/>
                <w:b/>
              </w:rPr>
              <w:t>30</w:t>
            </w:r>
            <w:r w:rsidR="00FF72C8">
              <w:rPr>
                <w:rFonts w:ascii="Arial" w:eastAsia="Calibri" w:hAnsi="Arial" w:cs="Arial"/>
                <w:b/>
              </w:rPr>
              <w:t>70</w:t>
            </w:r>
            <w:r w:rsidRPr="00A7170F">
              <w:rPr>
                <w:rFonts w:ascii="Arial" w:eastAsia="Calibri" w:hAnsi="Arial" w:cs="Arial"/>
                <w:b/>
              </w:rPr>
              <w:t>, Artículo</w:t>
            </w:r>
            <w:r w:rsidR="00925985" w:rsidRPr="00A7170F">
              <w:rPr>
                <w:rFonts w:ascii="Arial" w:eastAsia="Calibri" w:hAnsi="Arial" w:cs="Arial"/>
                <w:b/>
              </w:rPr>
              <w:t xml:space="preserve"> </w:t>
            </w:r>
            <w:r w:rsidR="00FF72C8">
              <w:rPr>
                <w:rFonts w:ascii="Arial" w:eastAsia="Calibri" w:hAnsi="Arial" w:cs="Arial"/>
                <w:b/>
              </w:rPr>
              <w:t>11</w:t>
            </w:r>
            <w:r w:rsidR="00FF3C43" w:rsidRPr="00A7170F">
              <w:rPr>
                <w:rFonts w:ascii="Arial" w:eastAsia="Calibri" w:hAnsi="Arial" w:cs="Arial"/>
                <w:b/>
              </w:rPr>
              <w:t>,</w:t>
            </w:r>
            <w:r w:rsidRPr="00A7170F">
              <w:rPr>
                <w:rFonts w:ascii="Arial" w:eastAsia="Calibri" w:hAnsi="Arial" w:cs="Arial"/>
                <w:b/>
              </w:rPr>
              <w:t xml:space="preserve"> del </w:t>
            </w:r>
            <w:r w:rsidR="00FF72C8">
              <w:rPr>
                <w:rFonts w:ascii="Arial" w:eastAsia="Calibri" w:hAnsi="Arial" w:cs="Arial"/>
                <w:b/>
              </w:rPr>
              <w:t>17</w:t>
            </w:r>
            <w:r w:rsidR="00925985" w:rsidRPr="00A7170F">
              <w:rPr>
                <w:rFonts w:ascii="Arial" w:eastAsia="Calibri" w:hAnsi="Arial" w:cs="Arial"/>
                <w:b/>
              </w:rPr>
              <w:t xml:space="preserve"> de </w:t>
            </w:r>
            <w:r w:rsidR="00BA51C3">
              <w:rPr>
                <w:rFonts w:ascii="Arial" w:eastAsia="Calibri" w:hAnsi="Arial" w:cs="Arial"/>
                <w:b/>
              </w:rPr>
              <w:t>mayo</w:t>
            </w:r>
            <w:r w:rsidR="00925985" w:rsidRPr="00A7170F">
              <w:rPr>
                <w:rFonts w:ascii="Arial" w:eastAsia="Calibri" w:hAnsi="Arial" w:cs="Arial"/>
                <w:b/>
              </w:rPr>
              <w:t xml:space="preserve"> </w:t>
            </w:r>
            <w:r w:rsidR="00A772EF" w:rsidRPr="00A7170F">
              <w:rPr>
                <w:rFonts w:ascii="Arial" w:eastAsia="Calibri" w:hAnsi="Arial" w:cs="Arial"/>
                <w:b/>
              </w:rPr>
              <w:t>de 201</w:t>
            </w:r>
            <w:r w:rsidR="003B6DC0" w:rsidRPr="00A7170F">
              <w:rPr>
                <w:rFonts w:ascii="Arial" w:eastAsia="Calibri" w:hAnsi="Arial" w:cs="Arial"/>
                <w:b/>
              </w:rPr>
              <w:t>8</w:t>
            </w:r>
            <w:r w:rsidR="00925985" w:rsidRPr="00A7170F">
              <w:rPr>
                <w:rFonts w:ascii="Arial" w:eastAsia="Calibri" w:hAnsi="Arial" w:cs="Arial"/>
                <w:b/>
              </w:rPr>
              <w:t xml:space="preserve">.  </w:t>
            </w:r>
            <w:r w:rsidR="00FF72C8" w:rsidRPr="00FF72C8">
              <w:rPr>
                <w:rFonts w:ascii="Arial" w:eastAsia="Cambria" w:hAnsi="Arial" w:cs="Arial"/>
                <w:b/>
                <w:bCs/>
                <w:lang w:val="es-CR" w:eastAsia="en-US"/>
              </w:rPr>
              <w:t>Disposiciones para la realización de ajustes contables a los Estados Financieros del ITCR</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F4255" w:rsidRDefault="00BF4255" w:rsidP="007742A1">
      <w:pPr>
        <w:jc w:val="both"/>
        <w:rPr>
          <w:rFonts w:ascii="Arial" w:eastAsia="Cambria" w:hAnsi="Arial" w:cs="Arial"/>
          <w:lang w:val="es-ES_tradnl" w:eastAsia="en-US"/>
        </w:rPr>
      </w:pPr>
    </w:p>
    <w:p w:rsidR="00BF4255" w:rsidRPr="00BF4255" w:rsidRDefault="00BF4255" w:rsidP="00BF4255">
      <w:pPr>
        <w:tabs>
          <w:tab w:val="left" w:pos="3070"/>
        </w:tabs>
        <w:contextualSpacing/>
        <w:jc w:val="both"/>
        <w:outlineLvl w:val="0"/>
        <w:rPr>
          <w:rFonts w:ascii="Arial" w:hAnsi="Arial" w:cs="Arial"/>
          <w:b/>
          <w:lang w:val="es-CR"/>
        </w:rPr>
      </w:pPr>
      <w:r w:rsidRPr="00BF4255">
        <w:rPr>
          <w:rFonts w:ascii="Arial" w:hAnsi="Arial" w:cs="Arial"/>
          <w:b/>
          <w:lang w:val="es-CR"/>
        </w:rPr>
        <w:t>RESULTANDO QUE:</w:t>
      </w:r>
    </w:p>
    <w:p w:rsidR="00BF4255" w:rsidRPr="00BF4255" w:rsidRDefault="00BF4255" w:rsidP="00BF4255">
      <w:pPr>
        <w:tabs>
          <w:tab w:val="left" w:pos="3070"/>
        </w:tabs>
        <w:contextualSpacing/>
        <w:jc w:val="both"/>
        <w:outlineLvl w:val="0"/>
        <w:rPr>
          <w:rFonts w:ascii="Arial" w:hAnsi="Arial" w:cs="Arial"/>
          <w:b/>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El inciso f del Artículo 18, del Estatuto Orgánico del ITCR, establece:</w:t>
      </w:r>
    </w:p>
    <w:p w:rsidR="00BF4255" w:rsidRPr="00BF4255" w:rsidRDefault="00BF4255" w:rsidP="00BF4255">
      <w:pPr>
        <w:ind w:left="284" w:right="-1"/>
        <w:contextualSpacing/>
        <w:jc w:val="both"/>
        <w:rPr>
          <w:rFonts w:ascii="Arial" w:eastAsia="Calibri" w:hAnsi="Arial" w:cs="Arial"/>
          <w:bCs/>
          <w:sz w:val="20"/>
          <w:szCs w:val="20"/>
          <w:lang w:val="es-CR"/>
        </w:rPr>
      </w:pPr>
      <w:bookmarkStart w:id="0" w:name="_GoBack"/>
      <w:bookmarkEnd w:id="0"/>
    </w:p>
    <w:p w:rsidR="00BF4255" w:rsidRPr="00BF4255" w:rsidRDefault="00BF4255" w:rsidP="00BF4255">
      <w:pPr>
        <w:ind w:left="709" w:right="284"/>
        <w:contextualSpacing/>
        <w:jc w:val="both"/>
        <w:rPr>
          <w:rFonts w:ascii="Arial" w:eastAsia="Calibri" w:hAnsi="Arial" w:cs="Arial"/>
          <w:bCs/>
          <w:i/>
          <w:sz w:val="22"/>
          <w:szCs w:val="22"/>
          <w:lang w:val="es-CR"/>
        </w:rPr>
      </w:pPr>
      <w:r w:rsidRPr="00BF4255">
        <w:rPr>
          <w:rFonts w:ascii="Arial" w:eastAsia="Calibri" w:hAnsi="Arial" w:cs="Arial"/>
          <w:bCs/>
          <w:i/>
          <w:sz w:val="22"/>
          <w:szCs w:val="22"/>
          <w:lang w:val="es-CR"/>
        </w:rPr>
        <w:t>“Son funciones del Consejo Institucional:</w:t>
      </w:r>
    </w:p>
    <w:p w:rsidR="00BF4255" w:rsidRPr="00BF4255" w:rsidRDefault="00BF4255" w:rsidP="00BF4255">
      <w:pPr>
        <w:ind w:left="709"/>
        <w:jc w:val="both"/>
        <w:rPr>
          <w:rFonts w:ascii="Arial" w:hAnsi="Arial" w:cs="Arial"/>
          <w:i/>
          <w:sz w:val="16"/>
          <w:szCs w:val="16"/>
          <w:lang w:val="es-CR"/>
        </w:rPr>
      </w:pPr>
      <w:r w:rsidRPr="00BF4255">
        <w:rPr>
          <w:rFonts w:ascii="Arial" w:hAnsi="Arial" w:cs="Arial"/>
          <w:i/>
          <w:sz w:val="16"/>
          <w:szCs w:val="16"/>
          <w:lang w:val="es-CR"/>
        </w:rPr>
        <w:t>…</w:t>
      </w:r>
    </w:p>
    <w:p w:rsidR="00BF4255" w:rsidRPr="00BF4255" w:rsidRDefault="00BF4255" w:rsidP="00BF4255">
      <w:pPr>
        <w:ind w:left="993" w:right="284" w:hanging="284"/>
        <w:jc w:val="both"/>
        <w:rPr>
          <w:rFonts w:ascii="Arial" w:hAnsi="Arial" w:cs="Arial"/>
          <w:i/>
          <w:sz w:val="22"/>
          <w:szCs w:val="22"/>
          <w:lang w:val="es-CR"/>
        </w:rPr>
      </w:pPr>
      <w:r w:rsidRPr="00BF4255">
        <w:rPr>
          <w:rFonts w:ascii="Arial" w:hAnsi="Arial" w:cs="Arial"/>
          <w:bCs/>
          <w:i/>
          <w:sz w:val="22"/>
          <w:szCs w:val="22"/>
          <w:lang w:val="es-CR"/>
        </w:rPr>
        <w:t xml:space="preserve">f. </w:t>
      </w:r>
      <w:r w:rsidRPr="00BF4255">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BF4255" w:rsidRPr="00BF4255" w:rsidRDefault="00BF4255" w:rsidP="00BF4255">
      <w:pPr>
        <w:tabs>
          <w:tab w:val="left" w:pos="3070"/>
        </w:tabs>
        <w:contextualSpacing/>
        <w:jc w:val="both"/>
        <w:outlineLvl w:val="0"/>
        <w:rPr>
          <w:rFonts w:ascii="Arial" w:hAnsi="Arial" w:cs="Arial"/>
          <w:b/>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El Decreto Ejecutivo No. 34918-H,  Adopción e Implementación de las Normas Internacionales de Contabilidad del Sector Público (NICSP), en el Ámbito Costarricense, establece que “</w:t>
      </w:r>
      <w:r w:rsidRPr="00BF4255">
        <w:rPr>
          <w:rFonts w:ascii="Arial" w:hAnsi="Arial" w:cs="Arial"/>
          <w:i/>
          <w:lang w:val="es-CR"/>
        </w:rPr>
        <w:t>las instituciones incluidas en su alcance, deberán iniciar el ajuste necesario en sus sistemas y registros contables, para la adopción e implementación de las NICSP</w:t>
      </w:r>
      <w:r w:rsidRPr="00BF4255">
        <w:rPr>
          <w:rFonts w:ascii="Arial" w:hAnsi="Arial" w:cs="Arial"/>
          <w:lang w:val="es-CR"/>
        </w:rPr>
        <w:t xml:space="preserve">”; motivo por el cual, durante el año 2017, el equipo de implementación de las normas se enfocó en la depuración de saldos de las cuentas de ingresos y egresos, bajo la estructura de adopción de las normas NICSP. </w:t>
      </w:r>
    </w:p>
    <w:p w:rsidR="00BF4255" w:rsidRPr="00BF4255" w:rsidRDefault="00BF4255" w:rsidP="00BF4255">
      <w:pPr>
        <w:ind w:left="708"/>
        <w:jc w:val="both"/>
        <w:rPr>
          <w:rFonts w:ascii="Arial" w:hAnsi="Arial" w:cs="Arial"/>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En atención al precitado decreto, desde el periodo 2016, el Instituto Tecnológico de Costa Rica se encuentra en el proceso de implementación de las Normas Internacionales de Contabilidad del Sector Público. El proceso de depuración, requiere la aplicación de una serie de ajustes contables, según los alcances de las NICSP.</w:t>
      </w:r>
    </w:p>
    <w:p w:rsidR="00BF4255" w:rsidRPr="00BF4255" w:rsidRDefault="00BF4255" w:rsidP="00BF4255">
      <w:pPr>
        <w:ind w:left="708"/>
        <w:rPr>
          <w:rFonts w:ascii="Arial" w:hAnsi="Arial" w:cs="Arial"/>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Mediante el VAD-135-2018, se solicita criterio a la Rectoría sobre el proceso a seguir para autorizar los ajustes, acerca de si es potestad de la Vicerrectoría de Administración, o si se requiere autorización del Consejo de Rectoría o del Consejo Institucional.</w:t>
      </w:r>
    </w:p>
    <w:p w:rsidR="00BF4255" w:rsidRPr="00BF4255" w:rsidRDefault="00BF4255" w:rsidP="00BF4255">
      <w:pPr>
        <w:ind w:left="708"/>
        <w:rPr>
          <w:rFonts w:ascii="Arial" w:hAnsi="Arial" w:cs="Arial"/>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Mediante el AUDI-042-2018, la Auditoría Interna sugiere, en razón de que no se tiene normado el procedimiento, identificar apropiadamente cada una de las instancias autorizadas, según importancia y efecto del ajuste en los Estados Financieros; estableciendo rangos, según criterio, monto y responsable de autorizar.</w:t>
      </w:r>
    </w:p>
    <w:p w:rsidR="00BF4255" w:rsidRPr="00BF4255" w:rsidRDefault="00BF4255" w:rsidP="00BF4255">
      <w:pPr>
        <w:ind w:left="708"/>
        <w:rPr>
          <w:rFonts w:ascii="Arial" w:hAnsi="Arial" w:cs="Arial"/>
          <w:lang w:val="es-CR"/>
        </w:rPr>
      </w:pPr>
    </w:p>
    <w:p w:rsidR="00BF4255" w:rsidRPr="00BF4255" w:rsidRDefault="00BF4255" w:rsidP="00BF4255">
      <w:pPr>
        <w:numPr>
          <w:ilvl w:val="0"/>
          <w:numId w:val="20"/>
        </w:numPr>
        <w:ind w:left="360"/>
        <w:jc w:val="both"/>
        <w:rPr>
          <w:rFonts w:ascii="Arial" w:hAnsi="Arial" w:cs="Arial"/>
          <w:lang w:val="es-CR"/>
        </w:rPr>
      </w:pPr>
      <w:r w:rsidRPr="00BF4255">
        <w:rPr>
          <w:rFonts w:ascii="Arial" w:hAnsi="Arial" w:cs="Arial"/>
          <w:lang w:val="es-CR"/>
        </w:rPr>
        <w:t xml:space="preserve">No existe una norma contable para el Sector Público que aborde específicamente la evaluación de la materialidad, pero se puede tomar en consideración la NIA N°320, que establece el marco de información financiera que incorpora el concepto de importancia relativa en el contexto de preparación y presentación de estados financieros. </w:t>
      </w:r>
    </w:p>
    <w:p w:rsidR="00BF4255" w:rsidRPr="00BF4255" w:rsidRDefault="00BF4255" w:rsidP="00BF4255">
      <w:pPr>
        <w:ind w:left="709"/>
        <w:jc w:val="both"/>
        <w:rPr>
          <w:rFonts w:ascii="Arial" w:hAnsi="Arial" w:cs="Arial"/>
          <w:sz w:val="22"/>
          <w:szCs w:val="22"/>
          <w:lang w:val="es-CR"/>
        </w:rPr>
      </w:pPr>
    </w:p>
    <w:p w:rsidR="00BF4255" w:rsidRPr="00BF4255" w:rsidRDefault="00BF4255" w:rsidP="00BF4255">
      <w:pPr>
        <w:tabs>
          <w:tab w:val="left" w:pos="3070"/>
        </w:tabs>
        <w:contextualSpacing/>
        <w:jc w:val="both"/>
        <w:outlineLvl w:val="0"/>
        <w:rPr>
          <w:rFonts w:ascii="Arial" w:hAnsi="Arial" w:cs="Arial"/>
          <w:b/>
          <w:lang w:val="es-CR"/>
        </w:rPr>
      </w:pPr>
      <w:r w:rsidRPr="00BF4255">
        <w:rPr>
          <w:rFonts w:ascii="Arial" w:hAnsi="Arial" w:cs="Arial"/>
          <w:b/>
          <w:lang w:val="es-CR"/>
        </w:rPr>
        <w:t>CONSIDERANDO QUE:</w:t>
      </w:r>
    </w:p>
    <w:p w:rsidR="00BF4255" w:rsidRPr="00BF4255" w:rsidRDefault="00BF4255" w:rsidP="00BF4255">
      <w:pPr>
        <w:jc w:val="both"/>
        <w:rPr>
          <w:rFonts w:ascii="Arial" w:hAnsi="Arial" w:cs="Arial"/>
          <w:i/>
          <w:sz w:val="22"/>
          <w:szCs w:val="22"/>
          <w:lang w:val="es-CR"/>
        </w:rPr>
      </w:pPr>
    </w:p>
    <w:p w:rsidR="00BF4255" w:rsidRPr="00BF4255" w:rsidRDefault="00BF4255" w:rsidP="00BF4255">
      <w:pPr>
        <w:numPr>
          <w:ilvl w:val="0"/>
          <w:numId w:val="21"/>
        </w:numPr>
        <w:ind w:left="322"/>
        <w:jc w:val="both"/>
        <w:rPr>
          <w:rFonts w:ascii="Arial" w:hAnsi="Arial" w:cs="Arial"/>
          <w:lang w:val="es-CR"/>
        </w:rPr>
      </w:pPr>
      <w:r w:rsidRPr="00BF4255">
        <w:rPr>
          <w:rFonts w:ascii="Arial" w:hAnsi="Arial" w:cs="Arial"/>
          <w:lang w:val="es-CR"/>
        </w:rPr>
        <w:t>La Secretaría del Consejo Institucional recibió oficio R-444-</w:t>
      </w:r>
      <w:proofErr w:type="gramStart"/>
      <w:r w:rsidRPr="00BF4255">
        <w:rPr>
          <w:rFonts w:ascii="Arial" w:hAnsi="Arial" w:cs="Arial"/>
          <w:lang w:val="es-CR"/>
        </w:rPr>
        <w:t xml:space="preserve">2018, </w:t>
      </w:r>
      <w:r>
        <w:rPr>
          <w:rFonts w:ascii="Arial" w:hAnsi="Arial" w:cs="Arial"/>
          <w:lang w:val="es-CR"/>
        </w:rPr>
        <w:t xml:space="preserve"> </w:t>
      </w:r>
      <w:r w:rsidRPr="00BF4255">
        <w:rPr>
          <w:rFonts w:ascii="Arial" w:hAnsi="Arial" w:cs="Arial"/>
          <w:lang w:val="es-CR"/>
        </w:rPr>
        <w:t xml:space="preserve"> </w:t>
      </w:r>
      <w:proofErr w:type="gramEnd"/>
      <w:r w:rsidRPr="00BF4255">
        <w:rPr>
          <w:rFonts w:ascii="Arial" w:hAnsi="Arial" w:cs="Arial"/>
          <w:lang w:val="es-CR"/>
        </w:rPr>
        <w:t xml:space="preserve">fecha de recibido 27 de abril de 2018, suscrito por el Dr. Julio Calvo Alvarado, Presidente del Consejo Institucional, dirigido  a la </w:t>
      </w:r>
      <w:proofErr w:type="spellStart"/>
      <w:r w:rsidRPr="00BF4255">
        <w:rPr>
          <w:rFonts w:ascii="Arial" w:hAnsi="Arial" w:cs="Arial"/>
          <w:lang w:val="es-CR"/>
        </w:rPr>
        <w:t>MSc</w:t>
      </w:r>
      <w:proofErr w:type="spellEnd"/>
      <w:r w:rsidRPr="00BF4255">
        <w:rPr>
          <w:rFonts w:ascii="Arial" w:hAnsi="Arial" w:cs="Arial"/>
          <w:lang w:val="es-CR"/>
        </w:rPr>
        <w:t>. Ana Rosa Ruiz, Coordinadora de la Comisión de Planificación y Administración, en el cual remite la propuesta sobre “Disposiciones de autorización de ajustes contables a los Estados Financieros”, presentada por el Dr. Luis Humberto Villalta.  Además, informa que el Consejo de Rectoría, en Sesión Ordinaria No.13-2018, Artículo 7, celebrada el 16 de abril del 2018, recomendó elevarla ante el Consejo Institucional, para su aprobación.  A continuación, se transcribe la propuesta:</w:t>
      </w:r>
    </w:p>
    <w:p w:rsidR="00BF4255" w:rsidRPr="00BF4255" w:rsidRDefault="00BF4255" w:rsidP="00BF4255">
      <w:pPr>
        <w:tabs>
          <w:tab w:val="left" w:pos="1701"/>
        </w:tabs>
        <w:jc w:val="both"/>
        <w:rPr>
          <w:rFonts w:ascii="Arial" w:hAnsi="Arial" w:cs="Arial"/>
          <w:sz w:val="20"/>
          <w:szCs w:val="20"/>
          <w:lang w:val="es-CR"/>
        </w:rPr>
      </w:pPr>
    </w:p>
    <w:p w:rsidR="00BF4255" w:rsidRPr="00BF4255" w:rsidRDefault="00BF4255" w:rsidP="00BF4255">
      <w:pPr>
        <w:tabs>
          <w:tab w:val="left" w:pos="8647"/>
        </w:tabs>
        <w:ind w:left="851" w:right="283" w:hanging="284"/>
        <w:jc w:val="both"/>
        <w:rPr>
          <w:rFonts w:ascii="Arial" w:hAnsi="Arial" w:cs="Arial"/>
          <w:i/>
          <w:sz w:val="22"/>
          <w:szCs w:val="22"/>
          <w:lang w:val="es-CR"/>
        </w:rPr>
      </w:pPr>
      <w:r w:rsidRPr="00BF4255">
        <w:rPr>
          <w:rFonts w:ascii="Arial" w:hAnsi="Arial" w:cs="Arial"/>
          <w:i/>
          <w:sz w:val="22"/>
          <w:szCs w:val="22"/>
          <w:lang w:val="es-CR"/>
        </w:rPr>
        <w:t xml:space="preserve">-  Las disposiciones tienen el objetivo de identificar apropiadamente cada una de las instancias autorizadas, según importancia y efecto del ajuste en los Estados Financieros; estableciendo rangos, monto y responsable y son requeridas para la depuración de las diferentes cuentas del balance, producto de la implementación de las Normas Internacionales de Contabilidad Nacional para el Sector Público (NICSP), al considerar los criterios de razonabilidad y oportunidad respectivos, </w:t>
      </w:r>
    </w:p>
    <w:p w:rsidR="00BF4255" w:rsidRPr="00BF4255" w:rsidRDefault="00BF4255" w:rsidP="00BF4255">
      <w:pPr>
        <w:ind w:right="-426"/>
        <w:jc w:val="both"/>
        <w:rPr>
          <w:rFonts w:ascii="Arial" w:hAnsi="Arial" w:cs="Arial"/>
          <w:i/>
          <w:sz w:val="22"/>
          <w:szCs w:val="22"/>
          <w:lang w:val="es-CR"/>
        </w:rPr>
      </w:pPr>
    </w:p>
    <w:p w:rsidR="00BF4255" w:rsidRPr="00BF4255" w:rsidRDefault="00BF4255" w:rsidP="00BF4255">
      <w:pPr>
        <w:ind w:left="567" w:right="425" w:hanging="141"/>
        <w:jc w:val="both"/>
        <w:rPr>
          <w:rFonts w:ascii="Arial" w:hAnsi="Arial" w:cs="Arial"/>
          <w:i/>
          <w:color w:val="000000"/>
          <w:sz w:val="22"/>
          <w:szCs w:val="22"/>
          <w:lang w:val="es-CR" w:eastAsia="es-CR"/>
        </w:rPr>
      </w:pPr>
      <w:r w:rsidRPr="00BF4255">
        <w:rPr>
          <w:rFonts w:ascii="Arial" w:hAnsi="Arial" w:cs="Arial"/>
          <w:i/>
          <w:color w:val="000000"/>
          <w:sz w:val="22"/>
          <w:szCs w:val="22"/>
          <w:lang w:val="es-CR" w:eastAsia="es-CR"/>
        </w:rPr>
        <w:t>Marco de Referencia</w:t>
      </w:r>
    </w:p>
    <w:p w:rsidR="00BF4255" w:rsidRPr="00BF4255" w:rsidRDefault="00BF4255" w:rsidP="00BF4255">
      <w:pPr>
        <w:rPr>
          <w:b/>
          <w:sz w:val="20"/>
          <w:szCs w:val="20"/>
          <w:lang w:val="es-CR"/>
        </w:rPr>
      </w:pPr>
    </w:p>
    <w:p w:rsidR="00BF4255" w:rsidRPr="00BF4255" w:rsidRDefault="00BF4255" w:rsidP="00BF4255">
      <w:pPr>
        <w:numPr>
          <w:ilvl w:val="0"/>
          <w:numId w:val="24"/>
        </w:numPr>
        <w:ind w:right="283"/>
        <w:jc w:val="both"/>
        <w:rPr>
          <w:rFonts w:ascii="Arial" w:hAnsi="Arial" w:cs="Arial"/>
          <w:i/>
          <w:sz w:val="22"/>
          <w:szCs w:val="22"/>
          <w:lang w:val="es-CR"/>
        </w:rPr>
      </w:pPr>
      <w:r w:rsidRPr="00BF4255">
        <w:rPr>
          <w:rFonts w:ascii="Arial" w:hAnsi="Arial" w:cs="Arial"/>
          <w:i/>
          <w:sz w:val="22"/>
          <w:szCs w:val="22"/>
          <w:lang w:val="es-CR"/>
        </w:rPr>
        <w:t>El Decreto Ejecutivo 34918-H, señala como indispensable la “Adopción e Implementación de las Normas Internacionales de Contabilidad del Sector Público (NICSP), en el ámbito costarricense”. Esto con la finalidad de unificar principios, normas y procedimientos en busca de lograr que el proceso de registro de las transacciones contables sea un proceso fiable y seguro, de acuerdo con la Ley de Administración Financiera de la República y Presupuestos Públicos.</w:t>
      </w:r>
    </w:p>
    <w:p w:rsidR="00BF4255" w:rsidRPr="00BF4255" w:rsidRDefault="00BF4255" w:rsidP="00BF4255">
      <w:pPr>
        <w:numPr>
          <w:ilvl w:val="0"/>
          <w:numId w:val="24"/>
        </w:numPr>
        <w:ind w:right="283"/>
        <w:jc w:val="both"/>
        <w:rPr>
          <w:rFonts w:ascii="Arial" w:hAnsi="Arial" w:cs="Arial"/>
          <w:i/>
          <w:sz w:val="22"/>
          <w:szCs w:val="22"/>
          <w:lang w:val="es-CR"/>
        </w:rPr>
      </w:pPr>
      <w:r w:rsidRPr="00BF4255">
        <w:rPr>
          <w:rFonts w:ascii="Arial" w:hAnsi="Arial" w:cs="Arial"/>
          <w:i/>
          <w:sz w:val="22"/>
          <w:szCs w:val="22"/>
          <w:lang w:val="es-CR"/>
        </w:rPr>
        <w:t xml:space="preserve">Mediante el VAD-130-2015, con fecha 15 de abril 2015, se atiende el SCI-137-2015: Implementación de Normas Internacionales de Contabilidad en el Sector Público- NICSP, en el Instituto Tecnológico de Costa Rica, donde la Comisión NICSP presenta el informe que recomienda su respectiva adopción.  </w:t>
      </w:r>
    </w:p>
    <w:p w:rsidR="00BF4255" w:rsidRPr="00BF4255" w:rsidRDefault="00BF4255" w:rsidP="00BF4255">
      <w:pPr>
        <w:numPr>
          <w:ilvl w:val="0"/>
          <w:numId w:val="24"/>
        </w:numPr>
        <w:ind w:right="283"/>
        <w:jc w:val="both"/>
        <w:rPr>
          <w:rFonts w:ascii="Arial" w:hAnsi="Arial" w:cs="Arial"/>
          <w:i/>
          <w:sz w:val="22"/>
          <w:szCs w:val="22"/>
          <w:lang w:val="es-CR"/>
        </w:rPr>
      </w:pPr>
      <w:r w:rsidRPr="00BF4255">
        <w:rPr>
          <w:rFonts w:ascii="Arial" w:hAnsi="Arial" w:cs="Arial"/>
          <w:i/>
          <w:sz w:val="22"/>
          <w:szCs w:val="22"/>
          <w:lang w:val="es-CR"/>
        </w:rPr>
        <w:t>Las Políticas Generales aprobadas por la Institución para el periodo 2015-2019 señalan:</w:t>
      </w:r>
    </w:p>
    <w:p w:rsidR="00BF4255" w:rsidRPr="00BF4255" w:rsidRDefault="00BF4255" w:rsidP="00BF4255">
      <w:pPr>
        <w:spacing w:after="160" w:line="259" w:lineRule="auto"/>
        <w:ind w:left="1134"/>
        <w:jc w:val="both"/>
        <w:rPr>
          <w:sz w:val="20"/>
          <w:szCs w:val="20"/>
          <w:lang w:val="es-CR"/>
        </w:rPr>
      </w:pPr>
      <w:r w:rsidRPr="00BF4255">
        <w:rPr>
          <w:sz w:val="20"/>
          <w:szCs w:val="20"/>
          <w:u w:val="single"/>
          <w:lang w:val="es-CR"/>
        </w:rPr>
        <w:t>Política 15</w:t>
      </w:r>
      <w:r w:rsidRPr="00BF4255">
        <w:rPr>
          <w:b/>
          <w:sz w:val="20"/>
          <w:szCs w:val="20"/>
          <w:lang w:val="es-CR"/>
        </w:rPr>
        <w:t>.</w:t>
      </w:r>
      <w:r w:rsidRPr="00BF4255">
        <w:rPr>
          <w:sz w:val="20"/>
          <w:szCs w:val="20"/>
          <w:lang w:val="es-CR"/>
        </w:rPr>
        <w:t xml:space="preserve"> Los procesos institucionales se desarrollarán con excelencia, sustentados en la evaluación continua que involucre a los usuarios directos.</w:t>
      </w:r>
    </w:p>
    <w:p w:rsidR="00BF4255" w:rsidRPr="00BF4255" w:rsidRDefault="00BF4255" w:rsidP="00BF4255">
      <w:pPr>
        <w:spacing w:after="160" w:line="259" w:lineRule="auto"/>
        <w:ind w:left="1134"/>
        <w:jc w:val="both"/>
        <w:rPr>
          <w:sz w:val="20"/>
          <w:szCs w:val="20"/>
          <w:lang w:val="es-CR"/>
        </w:rPr>
      </w:pPr>
      <w:r w:rsidRPr="00BF4255">
        <w:rPr>
          <w:sz w:val="20"/>
          <w:szCs w:val="20"/>
          <w:u w:val="single"/>
          <w:lang w:val="es-CR"/>
        </w:rPr>
        <w:t>Política 16</w:t>
      </w:r>
      <w:r w:rsidRPr="00BF4255">
        <w:rPr>
          <w:b/>
          <w:sz w:val="20"/>
          <w:szCs w:val="20"/>
          <w:lang w:val="es-CR"/>
        </w:rPr>
        <w:t>.</w:t>
      </w:r>
      <w:r w:rsidRPr="00BF4255">
        <w:rPr>
          <w:sz w:val="20"/>
          <w:szCs w:val="20"/>
          <w:lang w:val="es-CR"/>
        </w:rPr>
        <w:t xml:space="preserve"> 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BF4255" w:rsidRPr="00BF4255" w:rsidRDefault="00BF4255" w:rsidP="00BF4255">
      <w:pPr>
        <w:numPr>
          <w:ilvl w:val="0"/>
          <w:numId w:val="24"/>
        </w:numPr>
        <w:ind w:right="283"/>
        <w:jc w:val="both"/>
        <w:rPr>
          <w:rFonts w:ascii="Arial" w:hAnsi="Arial" w:cs="Arial"/>
          <w:i/>
          <w:sz w:val="22"/>
          <w:szCs w:val="22"/>
          <w:lang w:val="es-CR"/>
        </w:rPr>
      </w:pPr>
      <w:r w:rsidRPr="00BF4255">
        <w:rPr>
          <w:rFonts w:ascii="Arial" w:hAnsi="Arial" w:cs="Arial"/>
          <w:i/>
          <w:sz w:val="22"/>
          <w:szCs w:val="22"/>
          <w:lang w:val="es-CR"/>
        </w:rPr>
        <w:lastRenderedPageBreak/>
        <w:t>Las Políticas Específicas aprobadas por la Institución para el año 2018 indican:</w:t>
      </w:r>
    </w:p>
    <w:p w:rsidR="00BF4255" w:rsidRPr="00BF4255" w:rsidRDefault="00BF4255" w:rsidP="00BF4255">
      <w:pPr>
        <w:spacing w:after="160" w:line="259" w:lineRule="auto"/>
        <w:ind w:left="1134"/>
        <w:jc w:val="both"/>
        <w:rPr>
          <w:sz w:val="20"/>
          <w:szCs w:val="20"/>
          <w:lang w:val="es-CR"/>
        </w:rPr>
      </w:pPr>
      <w:r w:rsidRPr="00BF4255">
        <w:rPr>
          <w:sz w:val="20"/>
          <w:szCs w:val="20"/>
          <w:u w:val="single"/>
          <w:lang w:val="es-CR"/>
        </w:rPr>
        <w:t>Política 15.1</w:t>
      </w:r>
      <w:r w:rsidRPr="00BF4255">
        <w:rPr>
          <w:sz w:val="20"/>
          <w:szCs w:val="20"/>
          <w:lang w:val="es-CR"/>
        </w:rPr>
        <w:t xml:space="preserve"> Se desarrollarán acciones que permitan evaluar los procesos institucionales para el mejoramiento continuo mediante la utilización de modelos de excelencia acordes con el contexto institucional.</w:t>
      </w:r>
    </w:p>
    <w:p w:rsidR="00BF4255" w:rsidRPr="00BF4255" w:rsidRDefault="00BF4255" w:rsidP="00BF4255">
      <w:pPr>
        <w:spacing w:after="160" w:line="259" w:lineRule="auto"/>
        <w:ind w:left="1134"/>
        <w:jc w:val="both"/>
        <w:rPr>
          <w:sz w:val="20"/>
          <w:szCs w:val="20"/>
          <w:lang w:val="es-CR"/>
        </w:rPr>
      </w:pPr>
      <w:r w:rsidRPr="00BF4255">
        <w:rPr>
          <w:sz w:val="20"/>
          <w:szCs w:val="20"/>
          <w:u w:val="single"/>
          <w:lang w:val="es-CR"/>
        </w:rPr>
        <w:t>Política 16.1</w:t>
      </w:r>
      <w:r w:rsidRPr="00BF4255">
        <w:rPr>
          <w:sz w:val="20"/>
          <w:szCs w:val="20"/>
          <w:lang w:val="es-CR"/>
        </w:rPr>
        <w:t xml:space="preserve"> Se implementarán acciones concretas para asegurar una ejecución eficiente, racional y transparente de los recursos asignados a la Institución, así como la rendición de cuentas a la sociedad.</w:t>
      </w:r>
    </w:p>
    <w:p w:rsidR="00BF4255" w:rsidRPr="00BF4255" w:rsidRDefault="00BF4255" w:rsidP="00BF4255">
      <w:pPr>
        <w:numPr>
          <w:ilvl w:val="0"/>
          <w:numId w:val="24"/>
        </w:numPr>
        <w:ind w:right="283"/>
        <w:jc w:val="both"/>
        <w:rPr>
          <w:rFonts w:ascii="Arial" w:hAnsi="Arial" w:cs="Arial"/>
          <w:i/>
          <w:sz w:val="22"/>
          <w:szCs w:val="22"/>
          <w:lang w:val="es-CR"/>
        </w:rPr>
      </w:pPr>
      <w:r w:rsidRPr="00BF4255">
        <w:rPr>
          <w:rFonts w:ascii="Arial" w:hAnsi="Arial" w:cs="Arial"/>
          <w:i/>
          <w:sz w:val="22"/>
          <w:szCs w:val="22"/>
          <w:lang w:val="es-CR"/>
        </w:rPr>
        <w:t>La Ley de Control Interno establece:</w:t>
      </w:r>
    </w:p>
    <w:p w:rsidR="00BF4255" w:rsidRPr="00BF4255" w:rsidRDefault="00BF4255" w:rsidP="00BF4255">
      <w:pPr>
        <w:ind w:left="567" w:right="283"/>
        <w:jc w:val="both"/>
        <w:rPr>
          <w:rFonts w:ascii="Arial" w:hAnsi="Arial" w:cs="Arial"/>
          <w:i/>
          <w:sz w:val="22"/>
          <w:szCs w:val="22"/>
          <w:lang w:val="es-CR"/>
        </w:rPr>
      </w:pPr>
    </w:p>
    <w:p w:rsidR="00BF4255" w:rsidRPr="00BF4255" w:rsidRDefault="00BF4255" w:rsidP="00BF4255">
      <w:pPr>
        <w:spacing w:after="160" w:line="259" w:lineRule="auto"/>
        <w:ind w:left="1134"/>
        <w:jc w:val="both"/>
        <w:rPr>
          <w:sz w:val="20"/>
          <w:szCs w:val="20"/>
          <w:lang w:val="es-CR"/>
        </w:rPr>
      </w:pPr>
      <w:r w:rsidRPr="00BF4255">
        <w:rPr>
          <w:sz w:val="20"/>
          <w:szCs w:val="20"/>
          <w:lang w:val="es-CR"/>
        </w:rPr>
        <w:t>En el Art.8, el concepto del sistema de control interno, como una serie de acciones ejecutadas por la administración activa, diseñadas para proporcionar seguridad en la consecución de los siguientes objetivos:</w:t>
      </w:r>
    </w:p>
    <w:p w:rsidR="00BF4255" w:rsidRPr="00BF4255" w:rsidRDefault="00BF4255" w:rsidP="00BF4255">
      <w:pPr>
        <w:numPr>
          <w:ilvl w:val="0"/>
          <w:numId w:val="22"/>
        </w:numPr>
        <w:spacing w:after="160" w:line="259" w:lineRule="auto"/>
        <w:ind w:left="1134"/>
        <w:contextualSpacing/>
        <w:jc w:val="both"/>
        <w:rPr>
          <w:sz w:val="20"/>
          <w:szCs w:val="20"/>
          <w:lang w:val="es-CR"/>
        </w:rPr>
      </w:pPr>
      <w:r w:rsidRPr="00BF4255">
        <w:rPr>
          <w:sz w:val="20"/>
          <w:szCs w:val="20"/>
          <w:lang w:val="es-CR"/>
        </w:rPr>
        <w:t>Proteger y conservar el patrimonio público contra cualquier pérdida, despilfarro, uso indebido, irregular o acto ilegal.</w:t>
      </w:r>
    </w:p>
    <w:p w:rsidR="00BF4255" w:rsidRPr="00BF4255" w:rsidRDefault="00BF4255" w:rsidP="00BF4255">
      <w:pPr>
        <w:numPr>
          <w:ilvl w:val="0"/>
          <w:numId w:val="22"/>
        </w:numPr>
        <w:spacing w:after="160" w:line="259" w:lineRule="auto"/>
        <w:ind w:left="1134"/>
        <w:contextualSpacing/>
        <w:jc w:val="both"/>
        <w:rPr>
          <w:sz w:val="20"/>
          <w:szCs w:val="20"/>
          <w:lang w:val="es-CR"/>
        </w:rPr>
      </w:pPr>
      <w:r w:rsidRPr="00BF4255">
        <w:rPr>
          <w:sz w:val="20"/>
          <w:szCs w:val="20"/>
          <w:lang w:val="es-CR"/>
        </w:rPr>
        <w:t>Exigir confiabilidad y oportunidad de la información.</w:t>
      </w:r>
    </w:p>
    <w:p w:rsidR="00BF4255" w:rsidRPr="00BF4255" w:rsidRDefault="00BF4255" w:rsidP="00BF4255">
      <w:pPr>
        <w:numPr>
          <w:ilvl w:val="0"/>
          <w:numId w:val="22"/>
        </w:numPr>
        <w:spacing w:after="160" w:line="259" w:lineRule="auto"/>
        <w:ind w:left="1134"/>
        <w:contextualSpacing/>
        <w:jc w:val="both"/>
        <w:rPr>
          <w:sz w:val="20"/>
          <w:szCs w:val="20"/>
          <w:lang w:val="es-CR"/>
        </w:rPr>
      </w:pPr>
      <w:r w:rsidRPr="00BF4255">
        <w:rPr>
          <w:sz w:val="20"/>
          <w:szCs w:val="20"/>
          <w:lang w:val="es-CR"/>
        </w:rPr>
        <w:t>Garantizar eficiencia y eficacia de las operaciones.</w:t>
      </w:r>
    </w:p>
    <w:p w:rsidR="00BF4255" w:rsidRPr="00BF4255" w:rsidRDefault="00BF4255" w:rsidP="00BF4255">
      <w:pPr>
        <w:numPr>
          <w:ilvl w:val="0"/>
          <w:numId w:val="22"/>
        </w:numPr>
        <w:spacing w:after="160" w:line="259" w:lineRule="auto"/>
        <w:ind w:left="1134"/>
        <w:contextualSpacing/>
        <w:jc w:val="both"/>
        <w:rPr>
          <w:sz w:val="20"/>
          <w:szCs w:val="20"/>
          <w:lang w:val="es-CR"/>
        </w:rPr>
      </w:pPr>
      <w:r w:rsidRPr="00BF4255">
        <w:rPr>
          <w:sz w:val="20"/>
          <w:szCs w:val="20"/>
          <w:lang w:val="es-CR"/>
        </w:rPr>
        <w:t>Cumplir con el ordenamiento jurídico y técnico.</w:t>
      </w:r>
    </w:p>
    <w:p w:rsidR="00BF4255" w:rsidRPr="00BF4255" w:rsidRDefault="00BF4255" w:rsidP="00BF4255">
      <w:pPr>
        <w:spacing w:after="160" w:line="259" w:lineRule="auto"/>
        <w:ind w:left="1134"/>
        <w:jc w:val="both"/>
        <w:rPr>
          <w:sz w:val="20"/>
          <w:szCs w:val="20"/>
          <w:lang w:val="es-CR"/>
        </w:rPr>
      </w:pPr>
      <w:r w:rsidRPr="00BF4255">
        <w:rPr>
          <w:sz w:val="20"/>
          <w:szCs w:val="20"/>
          <w:lang w:val="es-CR"/>
        </w:rPr>
        <w:t>En el art.15, dentro de las actividades de control, entre los deberes del jerarca y de los titulares subordinados:</w:t>
      </w:r>
    </w:p>
    <w:p w:rsidR="00BF4255" w:rsidRPr="00BF4255" w:rsidRDefault="00BF4255" w:rsidP="00BF4255">
      <w:pPr>
        <w:numPr>
          <w:ilvl w:val="0"/>
          <w:numId w:val="23"/>
        </w:numPr>
        <w:spacing w:after="160" w:line="259" w:lineRule="auto"/>
        <w:ind w:left="1134"/>
        <w:contextualSpacing/>
        <w:jc w:val="both"/>
        <w:rPr>
          <w:sz w:val="20"/>
          <w:szCs w:val="20"/>
          <w:lang w:val="es-CR"/>
        </w:rPr>
      </w:pPr>
      <w:r w:rsidRPr="00BF4255">
        <w:rPr>
          <w:sz w:val="20"/>
          <w:szCs w:val="20"/>
          <w:lang w:val="es-CR"/>
        </w:rPr>
        <w:t>La conciliación periódica de registros, para verificar su exactitud y determinar y enmendar errores u omisiones que puedan haberse cometido.”</w:t>
      </w:r>
    </w:p>
    <w:p w:rsidR="00BF4255" w:rsidRPr="00BF4255" w:rsidRDefault="00BF4255" w:rsidP="00BF4255">
      <w:pPr>
        <w:ind w:right="425"/>
        <w:jc w:val="both"/>
        <w:rPr>
          <w:rFonts w:ascii="Arial" w:hAnsi="Arial" w:cs="Arial"/>
          <w:i/>
          <w:color w:val="000000"/>
          <w:sz w:val="20"/>
          <w:szCs w:val="20"/>
          <w:lang w:val="es-CR" w:eastAsia="es-CR"/>
        </w:rPr>
      </w:pPr>
    </w:p>
    <w:p w:rsidR="00BF4255" w:rsidRPr="00BF4255" w:rsidRDefault="00BF4255" w:rsidP="00BF4255">
      <w:pPr>
        <w:numPr>
          <w:ilvl w:val="0"/>
          <w:numId w:val="21"/>
        </w:numPr>
        <w:ind w:left="322"/>
        <w:jc w:val="both"/>
        <w:rPr>
          <w:rFonts w:ascii="Arial" w:hAnsi="Arial" w:cs="Arial"/>
          <w:lang w:val="es-CR"/>
        </w:rPr>
      </w:pPr>
      <w:r w:rsidRPr="00BF4255">
        <w:rPr>
          <w:rFonts w:ascii="Arial" w:hAnsi="Arial" w:cs="Arial"/>
          <w:lang w:val="es-CR"/>
        </w:rPr>
        <w:t>La Comisión de Planificación y Administración, en reunión No. 768-2018, realizada el 10 de mayo de 2018, revisa la propuesta “Disposiciones de autorización de ajustes contables a los Estados Financieros”, presentada por la Rectoría, y considera que la mayor parte de dicha propuesta son procedimientos administrativos que pueden ser establecidos por la propia administración y que lo que el Consejo Institucional le corresponde es el establecimiento de los rangos y responsables de modificación permitidas.</w:t>
      </w:r>
    </w:p>
    <w:p w:rsidR="00BF4255" w:rsidRPr="00BF4255" w:rsidRDefault="00BF4255" w:rsidP="00BF4255">
      <w:pPr>
        <w:ind w:left="322"/>
        <w:jc w:val="both"/>
        <w:rPr>
          <w:rFonts w:ascii="Arial" w:hAnsi="Arial" w:cs="Arial"/>
          <w:lang w:val="es-CR"/>
        </w:rPr>
      </w:pPr>
      <w:r w:rsidRPr="00BF4255">
        <w:rPr>
          <w:rFonts w:ascii="Arial" w:hAnsi="Arial" w:cs="Arial"/>
          <w:lang w:val="es-CR"/>
        </w:rPr>
        <w:t>Dispone elevarla la propuesta al Consejo Institucional por realizarse el jueves 17 de mayo de 2018.</w:t>
      </w:r>
    </w:p>
    <w:p w:rsidR="00BF4255" w:rsidRPr="00BF4255" w:rsidRDefault="00BF4255" w:rsidP="00BF4255">
      <w:pPr>
        <w:ind w:right="-426"/>
        <w:jc w:val="both"/>
        <w:rPr>
          <w:rFonts w:ascii="Arial" w:hAnsi="Arial" w:cs="Arial"/>
          <w:lang w:val="es-CR"/>
        </w:rPr>
      </w:pPr>
    </w:p>
    <w:p w:rsidR="00BF4255" w:rsidRPr="00BF4255" w:rsidRDefault="00BF4255" w:rsidP="00BF4255">
      <w:pPr>
        <w:jc w:val="both"/>
        <w:rPr>
          <w:rFonts w:ascii="Arial" w:hAnsi="Arial" w:cs="Arial"/>
          <w:b/>
          <w:lang w:val="es-CR"/>
        </w:rPr>
      </w:pPr>
      <w:r w:rsidRPr="00BF4255">
        <w:rPr>
          <w:rFonts w:ascii="Arial" w:hAnsi="Arial" w:cs="Arial"/>
          <w:b/>
          <w:lang w:val="es-CR"/>
        </w:rPr>
        <w:t>SE</w:t>
      </w:r>
      <w:r>
        <w:rPr>
          <w:rFonts w:ascii="Arial" w:hAnsi="Arial" w:cs="Arial"/>
          <w:b/>
          <w:lang w:val="es-CR"/>
        </w:rPr>
        <w:t xml:space="preserve"> ACUERDA</w:t>
      </w:r>
      <w:r w:rsidRPr="00BF4255">
        <w:rPr>
          <w:rFonts w:ascii="Arial" w:hAnsi="Arial" w:cs="Arial"/>
          <w:b/>
          <w:lang w:val="es-CR"/>
        </w:rPr>
        <w:t>:</w:t>
      </w:r>
    </w:p>
    <w:p w:rsidR="00BF4255" w:rsidRPr="00BF4255" w:rsidRDefault="00BF4255" w:rsidP="00BF4255">
      <w:pPr>
        <w:jc w:val="both"/>
        <w:rPr>
          <w:rFonts w:ascii="Arial" w:hAnsi="Arial" w:cs="Arial"/>
          <w:b/>
          <w:lang w:val="es-CR"/>
        </w:rPr>
      </w:pPr>
    </w:p>
    <w:p w:rsidR="00BF4255" w:rsidRPr="00BF4255" w:rsidRDefault="00BF4255" w:rsidP="00BF4255">
      <w:pPr>
        <w:numPr>
          <w:ilvl w:val="0"/>
          <w:numId w:val="25"/>
        </w:numPr>
        <w:ind w:left="378"/>
        <w:jc w:val="both"/>
        <w:rPr>
          <w:rFonts w:ascii="Arial" w:hAnsi="Arial" w:cs="Arial"/>
          <w:lang w:val="es-CR"/>
        </w:rPr>
      </w:pPr>
      <w:r w:rsidRPr="00BF4255">
        <w:rPr>
          <w:rFonts w:ascii="Arial" w:hAnsi="Arial" w:cs="Arial"/>
          <w:lang w:val="es-CR"/>
        </w:rPr>
        <w:t>Aprobar las siguientes disposiciones para la realización de ajustes contables a los Estados Financieros del ITCR:</w:t>
      </w:r>
    </w:p>
    <w:p w:rsidR="00BF4255" w:rsidRPr="00BF4255" w:rsidRDefault="00BF4255" w:rsidP="00BF4255">
      <w:pPr>
        <w:rPr>
          <w:sz w:val="20"/>
          <w:szCs w:val="20"/>
          <w:lang w:val="es-CR"/>
        </w:rPr>
      </w:pPr>
    </w:p>
    <w:p w:rsidR="00BF4255" w:rsidRPr="00BF4255" w:rsidRDefault="00BF4255" w:rsidP="00BF4255">
      <w:pPr>
        <w:numPr>
          <w:ilvl w:val="0"/>
          <w:numId w:val="26"/>
        </w:numPr>
        <w:jc w:val="both"/>
        <w:rPr>
          <w:rFonts w:ascii="Arial" w:hAnsi="Arial" w:cs="Arial"/>
          <w:lang w:val="es-CR"/>
        </w:rPr>
      </w:pPr>
      <w:r w:rsidRPr="00BF4255">
        <w:rPr>
          <w:rFonts w:ascii="Arial" w:hAnsi="Arial" w:cs="Arial"/>
          <w:lang w:val="es-CR"/>
        </w:rPr>
        <w:t>El Departamento de Financiero Contable elaborará el informe donde justifique el ajuste contable y la respectiva documentación de respaldo.</w:t>
      </w:r>
    </w:p>
    <w:p w:rsidR="00BF4255" w:rsidRPr="00BF4255" w:rsidRDefault="00BF4255" w:rsidP="00BF4255">
      <w:pPr>
        <w:jc w:val="both"/>
        <w:rPr>
          <w:sz w:val="20"/>
          <w:szCs w:val="20"/>
          <w:lang w:val="es-CR"/>
        </w:rPr>
      </w:pPr>
    </w:p>
    <w:p w:rsidR="00BF4255" w:rsidRPr="00BF4255" w:rsidRDefault="00BF4255" w:rsidP="00BF4255">
      <w:pPr>
        <w:numPr>
          <w:ilvl w:val="0"/>
          <w:numId w:val="26"/>
        </w:numPr>
        <w:jc w:val="both"/>
        <w:rPr>
          <w:rFonts w:ascii="Arial" w:hAnsi="Arial" w:cs="Arial"/>
          <w:lang w:val="es-CR"/>
        </w:rPr>
      </w:pPr>
      <w:r w:rsidRPr="00BF4255">
        <w:rPr>
          <w:rFonts w:ascii="Arial" w:hAnsi="Arial" w:cs="Arial"/>
          <w:lang w:val="es-CR"/>
        </w:rPr>
        <w:t>Establecer los siguientes niveles de autorización para la realización de ajustes contables por año calendario.</w:t>
      </w:r>
    </w:p>
    <w:tbl>
      <w:tblPr>
        <w:tblpPr w:leftFromText="141" w:rightFromText="141" w:vertAnchor="text" w:horzAnchor="page" w:tblpX="2761" w:tblpY="184"/>
        <w:tblW w:w="0" w:type="auto"/>
        <w:tblCellMar>
          <w:left w:w="0" w:type="dxa"/>
          <w:right w:w="0" w:type="dxa"/>
        </w:tblCellMar>
        <w:tblLook w:val="04A0" w:firstRow="1" w:lastRow="0" w:firstColumn="1" w:lastColumn="0" w:noHBand="0" w:noVBand="1"/>
      </w:tblPr>
      <w:tblGrid>
        <w:gridCol w:w="3510"/>
        <w:gridCol w:w="2410"/>
      </w:tblGrid>
      <w:tr w:rsidR="00BF4255" w:rsidRPr="00BF4255" w:rsidTr="004955E1">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jc w:val="center"/>
              <w:rPr>
                <w:rFonts w:ascii="Arial" w:hAnsi="Arial" w:cs="Arial"/>
                <w:b/>
                <w:bCs/>
                <w:lang w:val="es-CR" w:eastAsia="es-CR"/>
              </w:rPr>
            </w:pPr>
            <w:r w:rsidRPr="00BF4255">
              <w:rPr>
                <w:rFonts w:ascii="Arial" w:hAnsi="Arial" w:cs="Arial"/>
                <w:b/>
                <w:bCs/>
                <w:lang w:val="es-CR" w:eastAsia="es-CR"/>
              </w:rPr>
              <w:t>Responsable de autorizar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jc w:val="center"/>
              <w:rPr>
                <w:rFonts w:ascii="Arial" w:hAnsi="Arial" w:cs="Arial"/>
                <w:b/>
                <w:bCs/>
                <w:lang w:val="es-CR" w:eastAsia="es-CR"/>
              </w:rPr>
            </w:pPr>
            <w:r w:rsidRPr="00BF4255">
              <w:rPr>
                <w:rFonts w:ascii="Arial" w:hAnsi="Arial" w:cs="Arial"/>
                <w:b/>
                <w:bCs/>
                <w:lang w:val="es-CR" w:eastAsia="es-CR"/>
              </w:rPr>
              <w:t>Rango (¢)</w:t>
            </w:r>
          </w:p>
        </w:tc>
      </w:tr>
      <w:tr w:rsidR="00BF4255" w:rsidRPr="00BF4255" w:rsidTr="004955E1">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rPr>
                <w:rFonts w:ascii="Arial" w:hAnsi="Arial" w:cs="Arial"/>
                <w:lang w:val="es-CR" w:eastAsia="es-CR"/>
              </w:rPr>
            </w:pPr>
            <w:r w:rsidRPr="00BF4255">
              <w:rPr>
                <w:rFonts w:ascii="Arial" w:hAnsi="Arial" w:cs="Arial"/>
                <w:lang w:val="es-CR" w:eastAsia="es-CR"/>
              </w:rPr>
              <w:t>Vicerrector de Administración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jc w:val="center"/>
              <w:rPr>
                <w:rFonts w:ascii="Arial" w:hAnsi="Arial" w:cs="Arial"/>
                <w:lang w:val="es-CR" w:eastAsia="es-CR"/>
              </w:rPr>
            </w:pPr>
            <w:r w:rsidRPr="00BF4255">
              <w:rPr>
                <w:rFonts w:ascii="Arial" w:hAnsi="Arial" w:cs="Arial"/>
                <w:lang w:val="es-CR" w:eastAsia="es-CR"/>
              </w:rPr>
              <w:t>Hasta 25 millones</w:t>
            </w:r>
          </w:p>
        </w:tc>
      </w:tr>
      <w:tr w:rsidR="00BF4255" w:rsidRPr="00BF4255" w:rsidTr="004955E1">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rPr>
                <w:rFonts w:ascii="Arial" w:hAnsi="Arial" w:cs="Arial"/>
                <w:lang w:val="es-CR" w:eastAsia="es-CR"/>
              </w:rPr>
            </w:pPr>
            <w:r w:rsidRPr="00BF4255">
              <w:rPr>
                <w:rFonts w:ascii="Arial" w:hAnsi="Arial" w:cs="Arial"/>
                <w:lang w:val="es-CR" w:eastAsia="es-CR"/>
              </w:rPr>
              <w:t>Rector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jc w:val="center"/>
              <w:rPr>
                <w:rFonts w:ascii="Arial" w:hAnsi="Arial" w:cs="Arial"/>
                <w:lang w:val="es-CR" w:eastAsia="es-CR"/>
              </w:rPr>
            </w:pPr>
            <w:r w:rsidRPr="00BF4255">
              <w:rPr>
                <w:rFonts w:ascii="Arial" w:hAnsi="Arial" w:cs="Arial"/>
                <w:lang w:val="es-CR" w:eastAsia="es-CR"/>
              </w:rPr>
              <w:t>De 25 a 50 millones</w:t>
            </w:r>
          </w:p>
        </w:tc>
      </w:tr>
      <w:tr w:rsidR="00BF4255" w:rsidRPr="00BF4255" w:rsidTr="004955E1">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rPr>
                <w:rFonts w:ascii="Arial" w:hAnsi="Arial" w:cs="Arial"/>
                <w:lang w:val="es-CR" w:eastAsia="es-CR"/>
              </w:rPr>
            </w:pPr>
            <w:r w:rsidRPr="00BF4255">
              <w:rPr>
                <w:rFonts w:ascii="Arial" w:hAnsi="Arial" w:cs="Arial"/>
                <w:lang w:val="es-CR" w:eastAsia="es-CR"/>
              </w:rPr>
              <w:t>Consejo Institucional</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4255" w:rsidRPr="00BF4255" w:rsidRDefault="00BF4255" w:rsidP="00BF4255">
            <w:pPr>
              <w:jc w:val="center"/>
              <w:rPr>
                <w:rFonts w:ascii="Arial" w:hAnsi="Arial" w:cs="Arial"/>
                <w:lang w:val="es-CR" w:eastAsia="es-CR"/>
              </w:rPr>
            </w:pPr>
            <w:r w:rsidRPr="00BF4255">
              <w:rPr>
                <w:rFonts w:ascii="Arial" w:hAnsi="Arial" w:cs="Arial"/>
                <w:lang w:val="es-CR" w:eastAsia="es-CR"/>
              </w:rPr>
              <w:t>Más de 50 millones</w:t>
            </w:r>
          </w:p>
        </w:tc>
      </w:tr>
    </w:tbl>
    <w:p w:rsidR="00BF4255" w:rsidRPr="00BF4255" w:rsidRDefault="00BF4255" w:rsidP="00BF4255">
      <w:pPr>
        <w:ind w:left="708"/>
        <w:contextualSpacing/>
        <w:jc w:val="both"/>
        <w:rPr>
          <w:rFonts w:ascii="Calibri" w:eastAsia="Calibri" w:hAnsi="Calibri" w:cs="Calibri"/>
          <w:sz w:val="22"/>
          <w:szCs w:val="22"/>
          <w:lang w:val="es-CR" w:eastAsia="en-US"/>
        </w:rPr>
      </w:pPr>
    </w:p>
    <w:p w:rsidR="00BF4255" w:rsidRPr="00BF4255" w:rsidRDefault="00BF4255" w:rsidP="00BF4255">
      <w:pPr>
        <w:ind w:left="1080"/>
        <w:rPr>
          <w:sz w:val="20"/>
          <w:szCs w:val="20"/>
          <w:lang w:val="es-CR" w:eastAsia="es-CR"/>
        </w:rPr>
      </w:pPr>
    </w:p>
    <w:p w:rsidR="00BF4255" w:rsidRPr="00BF4255" w:rsidRDefault="00BF4255" w:rsidP="00BF4255">
      <w:pPr>
        <w:rPr>
          <w:sz w:val="20"/>
          <w:szCs w:val="20"/>
          <w:lang w:val="es-CR"/>
        </w:rPr>
      </w:pPr>
    </w:p>
    <w:p w:rsidR="00BF4255" w:rsidRPr="00BF4255" w:rsidRDefault="00BF4255" w:rsidP="00BF4255">
      <w:pPr>
        <w:rPr>
          <w:color w:val="1F497D"/>
          <w:sz w:val="20"/>
          <w:szCs w:val="20"/>
          <w:lang w:val="es-CR" w:eastAsia="es-CR"/>
        </w:rPr>
      </w:pPr>
    </w:p>
    <w:p w:rsidR="00BF4255" w:rsidRPr="00BF4255" w:rsidRDefault="00BF4255" w:rsidP="00BF4255">
      <w:pPr>
        <w:rPr>
          <w:color w:val="1F497D"/>
          <w:sz w:val="20"/>
          <w:szCs w:val="20"/>
          <w:lang w:val="es-CR" w:eastAsia="es-CR"/>
        </w:rPr>
      </w:pPr>
    </w:p>
    <w:p w:rsidR="00BF4255" w:rsidRPr="00BF4255" w:rsidRDefault="00BF4255" w:rsidP="00BF4255">
      <w:pPr>
        <w:rPr>
          <w:color w:val="1F497D"/>
          <w:sz w:val="20"/>
          <w:szCs w:val="20"/>
          <w:lang w:val="es-CR" w:eastAsia="es-CR"/>
        </w:rPr>
      </w:pPr>
    </w:p>
    <w:p w:rsidR="00BF4255" w:rsidRPr="00BF4255" w:rsidRDefault="00BF4255" w:rsidP="00BF4255">
      <w:pPr>
        <w:ind w:left="378"/>
        <w:jc w:val="both"/>
        <w:rPr>
          <w:rFonts w:ascii="Arial" w:hAnsi="Arial" w:cs="Arial"/>
          <w:lang w:val="es-CR"/>
        </w:rPr>
      </w:pPr>
    </w:p>
    <w:p w:rsidR="00BF4255" w:rsidRPr="00BF4255" w:rsidRDefault="00BF4255" w:rsidP="00BF4255">
      <w:pPr>
        <w:numPr>
          <w:ilvl w:val="0"/>
          <w:numId w:val="25"/>
        </w:numPr>
        <w:ind w:left="378"/>
        <w:jc w:val="both"/>
        <w:rPr>
          <w:rFonts w:ascii="Arial" w:hAnsi="Arial" w:cs="Arial"/>
          <w:lang w:val="es-CR"/>
        </w:rPr>
      </w:pPr>
      <w:r w:rsidRPr="00BF4255">
        <w:rPr>
          <w:rFonts w:ascii="Arial" w:hAnsi="Arial" w:cs="Arial"/>
          <w:lang w:val="es-CR"/>
        </w:rPr>
        <w:t>Solicitar a La Vicerrectoría de Administración que, en un plazo de dos meses naturales, elabore y publique el procedimiento que regule la implementación de las disposiciones aprobadas en el inciso a.</w:t>
      </w:r>
    </w:p>
    <w:p w:rsidR="00BF4255" w:rsidRPr="00BF4255" w:rsidRDefault="00BF4255" w:rsidP="00BF4255">
      <w:pPr>
        <w:jc w:val="both"/>
        <w:rPr>
          <w:rFonts w:ascii="Arial" w:hAnsi="Arial" w:cs="Arial"/>
          <w:sz w:val="16"/>
          <w:szCs w:val="16"/>
          <w:lang w:val="es-CR"/>
        </w:rPr>
      </w:pPr>
    </w:p>
    <w:p w:rsidR="00BF4255" w:rsidRPr="00BF4255" w:rsidRDefault="00BF4255" w:rsidP="00BF4255">
      <w:pPr>
        <w:jc w:val="both"/>
        <w:rPr>
          <w:rFonts w:ascii="Arial" w:hAnsi="Arial" w:cs="Arial"/>
          <w:sz w:val="16"/>
          <w:szCs w:val="16"/>
          <w:lang w:val="es-CR"/>
        </w:rPr>
      </w:pPr>
    </w:p>
    <w:p w:rsidR="003859C1" w:rsidRPr="00BF4255" w:rsidRDefault="003859C1" w:rsidP="00BF4255">
      <w:pPr>
        <w:numPr>
          <w:ilvl w:val="0"/>
          <w:numId w:val="25"/>
        </w:numPr>
        <w:ind w:left="37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F4255">
        <w:rPr>
          <w:rFonts w:ascii="Arial" w:hAnsi="Arial" w:cs="Arial"/>
          <w:b/>
          <w:lang w:val="es-CR"/>
        </w:rPr>
        <w:t>.</w:t>
      </w:r>
    </w:p>
    <w:p w:rsidR="00BF4255" w:rsidRDefault="00BF4255" w:rsidP="00BF4255">
      <w:pPr>
        <w:jc w:val="both"/>
        <w:rPr>
          <w:rFonts w:ascii="Arial" w:hAnsi="Arial" w:cs="Arial"/>
          <w:b/>
          <w:lang w:val="es-CR"/>
        </w:rPr>
      </w:pPr>
    </w:p>
    <w:p w:rsidR="00BF4255" w:rsidRPr="00AC372A" w:rsidRDefault="00BF4255" w:rsidP="00BF4255">
      <w:pPr>
        <w:jc w:val="both"/>
        <w:rPr>
          <w:rFonts w:ascii="Arial" w:hAnsi="Arial" w:cs="Arial"/>
        </w:rPr>
      </w:pPr>
    </w:p>
    <w:p w:rsidR="00BF4255" w:rsidRPr="00BF4255" w:rsidRDefault="00BF4255" w:rsidP="00BF4255">
      <w:pPr>
        <w:widowControl w:val="0"/>
        <w:jc w:val="both"/>
        <w:rPr>
          <w:rFonts w:ascii="Arial" w:hAnsi="Arial" w:cs="Arial"/>
          <w:b/>
          <w:i/>
          <w:sz w:val="20"/>
          <w:szCs w:val="20"/>
        </w:rPr>
      </w:pPr>
      <w:r w:rsidRPr="00BF4255">
        <w:rPr>
          <w:rFonts w:ascii="Arial" w:hAnsi="Arial" w:cs="Arial"/>
          <w:b/>
          <w:i/>
          <w:sz w:val="20"/>
          <w:szCs w:val="20"/>
        </w:rPr>
        <w:t xml:space="preserve">Palabras Clave:         Disposiciones – autorización –ajustes – contables - NICS </w:t>
      </w:r>
    </w:p>
    <w:p w:rsidR="00885F0A" w:rsidRDefault="00885F0A" w:rsidP="00AC372A">
      <w:pPr>
        <w:spacing w:after="160" w:line="259" w:lineRule="auto"/>
        <w:contextualSpacing/>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F5" w:rsidRDefault="004F2FF5">
      <w:r>
        <w:separator/>
      </w:r>
    </w:p>
  </w:endnote>
  <w:endnote w:type="continuationSeparator" w:id="0">
    <w:p w:rsidR="004F2FF5" w:rsidRDefault="004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F5" w:rsidRDefault="004F2FF5">
      <w:r>
        <w:separator/>
      </w:r>
    </w:p>
  </w:footnote>
  <w:footnote w:type="continuationSeparator" w:id="0">
    <w:p w:rsidR="004F2FF5" w:rsidRDefault="004F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72C8">
      <w:rPr>
        <w:rFonts w:ascii="Arial" w:eastAsia="Cambria" w:hAnsi="Arial" w:cs="Arial"/>
        <w:i/>
        <w:sz w:val="18"/>
        <w:szCs w:val="18"/>
        <w:lang w:val="es-ES_tradnl" w:eastAsia="x-none"/>
      </w:rPr>
      <w:t>70</w:t>
    </w:r>
    <w:r w:rsidRPr="00D958BC">
      <w:rPr>
        <w:rFonts w:ascii="Arial" w:eastAsia="Cambria" w:hAnsi="Arial" w:cs="Arial"/>
        <w:i/>
        <w:sz w:val="18"/>
        <w:szCs w:val="18"/>
        <w:lang w:val="es-ES_tradnl" w:eastAsia="x-none"/>
      </w:rPr>
      <w:t xml:space="preserve">, Artículo </w:t>
    </w:r>
    <w:r w:rsidR="00FF72C8">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del </w:t>
    </w:r>
    <w:r w:rsidR="00FF72C8">
      <w:rPr>
        <w:rFonts w:ascii="Arial" w:eastAsia="Cambria" w:hAnsi="Arial" w:cs="Arial"/>
        <w:i/>
        <w:sz w:val="18"/>
        <w:szCs w:val="18"/>
        <w:lang w:val="es-ES_tradnl" w:eastAsia="x-none"/>
      </w:rPr>
      <w:t>17</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F4255">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6"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92B21AE"/>
    <w:multiLevelType w:val="hybridMultilevel"/>
    <w:tmpl w:val="9CDA08DA"/>
    <w:lvl w:ilvl="0" w:tplc="EED4F206">
      <w:start w:val="1"/>
      <w:numFmt w:val="lowerLetter"/>
      <w:lvlText w:val="%1."/>
      <w:lvlJc w:val="left"/>
      <w:pPr>
        <w:ind w:left="5747" w:hanging="360"/>
      </w:pPr>
      <w:rPr>
        <w:rFonts w:hint="default"/>
        <w:b/>
        <w:i w:val="0"/>
        <w:strike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ECC0316"/>
    <w:multiLevelType w:val="hybridMultilevel"/>
    <w:tmpl w:val="0B7C138A"/>
    <w:lvl w:ilvl="0" w:tplc="140A000F">
      <w:start w:val="1"/>
      <w:numFmt w:val="decimal"/>
      <w:lvlText w:val="%1."/>
      <w:lvlJc w:val="left"/>
      <w:pPr>
        <w:ind w:left="738" w:hanging="360"/>
      </w:pPr>
    </w:lvl>
    <w:lvl w:ilvl="1" w:tplc="140A0019" w:tentative="1">
      <w:start w:val="1"/>
      <w:numFmt w:val="lowerLetter"/>
      <w:lvlText w:val="%2."/>
      <w:lvlJc w:val="left"/>
      <w:pPr>
        <w:ind w:left="1458" w:hanging="360"/>
      </w:pPr>
    </w:lvl>
    <w:lvl w:ilvl="2" w:tplc="140A001B" w:tentative="1">
      <w:start w:val="1"/>
      <w:numFmt w:val="lowerRoman"/>
      <w:lvlText w:val="%3."/>
      <w:lvlJc w:val="right"/>
      <w:pPr>
        <w:ind w:left="2178" w:hanging="180"/>
      </w:pPr>
    </w:lvl>
    <w:lvl w:ilvl="3" w:tplc="140A000F" w:tentative="1">
      <w:start w:val="1"/>
      <w:numFmt w:val="decimal"/>
      <w:lvlText w:val="%4."/>
      <w:lvlJc w:val="left"/>
      <w:pPr>
        <w:ind w:left="2898" w:hanging="360"/>
      </w:pPr>
    </w:lvl>
    <w:lvl w:ilvl="4" w:tplc="140A0019" w:tentative="1">
      <w:start w:val="1"/>
      <w:numFmt w:val="lowerLetter"/>
      <w:lvlText w:val="%5."/>
      <w:lvlJc w:val="left"/>
      <w:pPr>
        <w:ind w:left="3618" w:hanging="360"/>
      </w:pPr>
    </w:lvl>
    <w:lvl w:ilvl="5" w:tplc="140A001B" w:tentative="1">
      <w:start w:val="1"/>
      <w:numFmt w:val="lowerRoman"/>
      <w:lvlText w:val="%6."/>
      <w:lvlJc w:val="right"/>
      <w:pPr>
        <w:ind w:left="4338" w:hanging="180"/>
      </w:pPr>
    </w:lvl>
    <w:lvl w:ilvl="6" w:tplc="140A000F" w:tentative="1">
      <w:start w:val="1"/>
      <w:numFmt w:val="decimal"/>
      <w:lvlText w:val="%7."/>
      <w:lvlJc w:val="left"/>
      <w:pPr>
        <w:ind w:left="5058" w:hanging="360"/>
      </w:pPr>
    </w:lvl>
    <w:lvl w:ilvl="7" w:tplc="140A0019" w:tentative="1">
      <w:start w:val="1"/>
      <w:numFmt w:val="lowerLetter"/>
      <w:lvlText w:val="%8."/>
      <w:lvlJc w:val="left"/>
      <w:pPr>
        <w:ind w:left="5778" w:hanging="360"/>
      </w:pPr>
    </w:lvl>
    <w:lvl w:ilvl="8" w:tplc="140A001B" w:tentative="1">
      <w:start w:val="1"/>
      <w:numFmt w:val="lowerRoman"/>
      <w:lvlText w:val="%9."/>
      <w:lvlJc w:val="right"/>
      <w:pPr>
        <w:ind w:left="6498"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4"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796D6D"/>
    <w:multiLevelType w:val="hybridMultilevel"/>
    <w:tmpl w:val="69A2EE4C"/>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5B3A7AF4"/>
    <w:multiLevelType w:val="hybridMultilevel"/>
    <w:tmpl w:val="032880EE"/>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0"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10E645E"/>
    <w:multiLevelType w:val="hybridMultilevel"/>
    <w:tmpl w:val="558A17D4"/>
    <w:lvl w:ilvl="0" w:tplc="2F482D82">
      <w:start w:val="8"/>
      <w:numFmt w:val="bullet"/>
      <w:lvlText w:val="-"/>
      <w:lvlJc w:val="left"/>
      <w:pPr>
        <w:ind w:left="927" w:hanging="360"/>
      </w:pPr>
      <w:rPr>
        <w:rFonts w:ascii="Arial" w:eastAsia="Times New Roman" w:hAnsi="Arial" w:cs="Aria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2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F6D406A"/>
    <w:multiLevelType w:val="hybridMultilevel"/>
    <w:tmpl w:val="9CDA08DA"/>
    <w:lvl w:ilvl="0" w:tplc="EED4F206">
      <w:start w:val="1"/>
      <w:numFmt w:val="lowerLetter"/>
      <w:lvlText w:val="%1."/>
      <w:lvlJc w:val="left"/>
      <w:pPr>
        <w:ind w:left="5747" w:hanging="360"/>
      </w:pPr>
      <w:rPr>
        <w:rFonts w:hint="default"/>
        <w:b/>
        <w:i w:val="0"/>
        <w:strike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3"/>
  </w:num>
  <w:num w:numId="3">
    <w:abstractNumId w:val="14"/>
  </w:num>
  <w:num w:numId="4">
    <w:abstractNumId w:val="1"/>
  </w:num>
  <w:num w:numId="5">
    <w:abstractNumId w:val="7"/>
  </w:num>
  <w:num w:numId="6">
    <w:abstractNumId w:val="18"/>
  </w:num>
  <w:num w:numId="7">
    <w:abstractNumId w:val="9"/>
  </w:num>
  <w:num w:numId="8">
    <w:abstractNumId w:val="3"/>
  </w:num>
  <w:num w:numId="9">
    <w:abstractNumId w:val="12"/>
  </w:num>
  <w:num w:numId="10">
    <w:abstractNumId w:val="5"/>
  </w:num>
  <w:num w:numId="11">
    <w:abstractNumId w:val="19"/>
  </w:num>
  <w:num w:numId="12">
    <w:abstractNumId w:val="21"/>
  </w:num>
  <w:num w:numId="13">
    <w:abstractNumId w:val="11"/>
  </w:num>
  <w:num w:numId="14">
    <w:abstractNumId w:val="17"/>
  </w:num>
  <w:num w:numId="15">
    <w:abstractNumId w:val="0"/>
  </w:num>
  <w:num w:numId="16">
    <w:abstractNumId w:val="6"/>
  </w:num>
  <w:num w:numId="17">
    <w:abstractNumId w:val="4"/>
  </w:num>
  <w:num w:numId="18">
    <w:abstractNumId w:val="20"/>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5"/>
  </w:num>
  <w:num w:numId="24">
    <w:abstractNumId w:val="22"/>
  </w:num>
  <w:num w:numId="25">
    <w:abstractNumId w:val="24"/>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FF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2E0"/>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4255"/>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 w:val="00FF72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9097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77CD-0FEE-48A9-86C6-A9ADBF73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cp:revision>
  <cp:lastPrinted>2018-05-17T22:26:00Z</cp:lastPrinted>
  <dcterms:created xsi:type="dcterms:W3CDTF">2018-05-02T21:37:00Z</dcterms:created>
  <dcterms:modified xsi:type="dcterms:W3CDTF">2018-05-17T22:26:00Z</dcterms:modified>
</cp:coreProperties>
</file>