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86F25">
        <w:rPr>
          <w:rFonts w:ascii="Arial" w:hAnsi="Arial" w:cs="Arial"/>
          <w:b/>
          <w:bCs/>
          <w:iCs/>
          <w:sz w:val="26"/>
          <w:szCs w:val="22"/>
          <w:lang w:val="es-CR"/>
        </w:rPr>
        <w:t>107</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A65BB9" w:rsidRDefault="00A65BB9" w:rsidP="0007569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Pr="007B44B9">
              <w:rPr>
                <w:rFonts w:ascii="Arial" w:eastAsia="Cambria" w:hAnsi="Arial" w:cs="Arial"/>
                <w:sz w:val="22"/>
                <w:szCs w:val="22"/>
                <w:lang w:val="es-ES_tradnl" w:eastAsia="en-US"/>
              </w:rPr>
              <w:t xml:space="preserve"> </w:t>
            </w:r>
          </w:p>
          <w:p w:rsidR="00302A99" w:rsidRDefault="00E86F25" w:rsidP="00E86F2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Recursos Humanos</w:t>
            </w:r>
          </w:p>
          <w:p w:rsidR="00734259" w:rsidRDefault="00734259" w:rsidP="00E86F2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de Planificación Institucional</w:t>
            </w:r>
          </w:p>
          <w:p w:rsidR="00E86F25" w:rsidRPr="00302A99" w:rsidRDefault="00E86F25" w:rsidP="00E86F25">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20478D"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7569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0478D">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075690">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075690">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075690">
              <w:rPr>
                <w:rFonts w:ascii="Arial" w:eastAsia="Calibri" w:hAnsi="Arial" w:cs="Arial"/>
                <w:b/>
                <w:sz w:val="22"/>
                <w:szCs w:val="22"/>
              </w:rPr>
              <w:t>4</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075690">
              <w:rPr>
                <w:rFonts w:ascii="Arial" w:eastAsia="Calibri" w:hAnsi="Arial" w:cs="Arial"/>
                <w:b/>
                <w:sz w:val="22"/>
                <w:szCs w:val="22"/>
              </w:rPr>
              <w:t>14</w:t>
            </w:r>
            <w:r w:rsidR="0020478D">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075690">
              <w:rPr>
                <w:rFonts w:ascii="Arial" w:eastAsia="Calibri" w:hAnsi="Arial" w:cs="Arial"/>
                <w:b/>
                <w:sz w:val="22"/>
                <w:szCs w:val="22"/>
              </w:rPr>
              <w:t>Modificación del inciso b, del acuerdo de la Sesión Ordinaria No. 3047, Artículo 9, del 15 de noviembre de 2017.  Apertura del programa de Ingeniería en Electrónica en Alajuela, para corregir códigos de las pl</w:t>
            </w:r>
            <w:r w:rsidR="00E86F25">
              <w:rPr>
                <w:rFonts w:ascii="Arial" w:eastAsia="Calibri" w:hAnsi="Arial" w:cs="Arial"/>
                <w:b/>
                <w:sz w:val="22"/>
                <w:szCs w:val="22"/>
              </w:rPr>
              <w:t>a</w:t>
            </w:r>
            <w:r w:rsidR="00075690">
              <w:rPr>
                <w:rFonts w:ascii="Arial" w:eastAsia="Calibri" w:hAnsi="Arial" w:cs="Arial"/>
                <w:b/>
                <w:sz w:val="22"/>
                <w:szCs w:val="22"/>
              </w:rPr>
              <w:t>zas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E86F25" w:rsidRPr="00E86F25" w:rsidRDefault="00E86F25" w:rsidP="00E86F25">
      <w:pPr>
        <w:rPr>
          <w:rFonts w:ascii="Arial" w:hAnsi="Arial" w:cs="Arial"/>
          <w:b/>
        </w:rPr>
      </w:pPr>
      <w:r w:rsidRPr="00E86F25">
        <w:rPr>
          <w:rFonts w:ascii="Arial" w:hAnsi="Arial" w:cs="Arial"/>
          <w:b/>
        </w:rPr>
        <w:t>RESULTANDO QUE:</w:t>
      </w:r>
    </w:p>
    <w:p w:rsidR="00E86F25" w:rsidRPr="00E86F25" w:rsidRDefault="00E86F25" w:rsidP="00E86F25">
      <w:pPr>
        <w:rPr>
          <w:rFonts w:ascii="Arial" w:hAnsi="Arial" w:cs="Arial"/>
          <w:b/>
          <w:sz w:val="28"/>
        </w:rPr>
      </w:pPr>
    </w:p>
    <w:p w:rsidR="00E86F25" w:rsidRPr="00E86F25" w:rsidRDefault="00E86F25" w:rsidP="00E86F25">
      <w:pPr>
        <w:numPr>
          <w:ilvl w:val="0"/>
          <w:numId w:val="9"/>
        </w:numPr>
        <w:ind w:left="426" w:hanging="426"/>
        <w:contextualSpacing/>
        <w:jc w:val="both"/>
        <w:rPr>
          <w:rFonts w:ascii="Arial" w:eastAsia="Calibri" w:hAnsi="Arial" w:cs="Arial"/>
          <w:lang w:val="es-CR" w:eastAsia="en-US"/>
        </w:rPr>
      </w:pPr>
      <w:r w:rsidRPr="00E86F25">
        <w:rPr>
          <w:rFonts w:ascii="Arial" w:eastAsia="Calibri" w:hAnsi="Arial" w:cs="Arial"/>
          <w:lang w:val="es-CR" w:eastAsia="en-US"/>
        </w:rPr>
        <w:t>El Artículo 21 del Reglamento del Consejo Institucional indica lo siguiente:</w:t>
      </w:r>
    </w:p>
    <w:p w:rsidR="00E86F25" w:rsidRPr="00E86F25" w:rsidRDefault="00E86F25" w:rsidP="00E86F25">
      <w:pPr>
        <w:ind w:left="709"/>
        <w:jc w:val="both"/>
        <w:rPr>
          <w:rFonts w:ascii="Arial" w:eastAsia="Calibri" w:hAnsi="Arial" w:cs="Arial"/>
          <w:i/>
          <w:lang w:val="es-CR" w:eastAsia="en-US"/>
        </w:rPr>
      </w:pPr>
    </w:p>
    <w:p w:rsidR="00E86F25" w:rsidRPr="00E86F25" w:rsidRDefault="00E86F25" w:rsidP="00E86F25">
      <w:pPr>
        <w:ind w:left="993" w:right="333"/>
        <w:jc w:val="both"/>
        <w:rPr>
          <w:rFonts w:ascii="Arial" w:eastAsia="Calibri" w:hAnsi="Arial" w:cs="Arial"/>
          <w:i/>
          <w:lang w:val="es-CR" w:eastAsia="en-US"/>
        </w:rPr>
      </w:pPr>
      <w:r>
        <w:rPr>
          <w:rFonts w:ascii="Arial" w:eastAsia="Calibri" w:hAnsi="Arial" w:cs="Arial"/>
          <w:i/>
          <w:lang w:val="es-CR" w:eastAsia="en-US"/>
        </w:rPr>
        <w:t>“</w:t>
      </w:r>
      <w:r w:rsidRPr="00E86F25">
        <w:rPr>
          <w:rFonts w:ascii="Arial" w:eastAsia="Calibri" w:hAnsi="Arial" w:cs="Arial"/>
          <w:i/>
          <w:lang w:val="es-CR" w:eastAsia="en-US"/>
        </w:rPr>
        <w:t xml:space="preserve">Son asuntos propios del análisis y dictamen de la Comisión de Planificación y Administración según su competencia los siguientes: </w:t>
      </w:r>
    </w:p>
    <w:p w:rsidR="00E86F25" w:rsidRPr="00E86F25" w:rsidRDefault="00E86F25" w:rsidP="00E86F25">
      <w:pPr>
        <w:ind w:left="360" w:right="333"/>
        <w:jc w:val="both"/>
        <w:rPr>
          <w:rFonts w:ascii="Arial" w:eastAsia="Calibri" w:hAnsi="Arial" w:cs="Arial"/>
          <w:i/>
          <w:lang w:val="es-CR" w:eastAsia="en-US"/>
        </w:rPr>
      </w:pPr>
      <w:r w:rsidRPr="00E86F25">
        <w:rPr>
          <w:rFonts w:ascii="Arial" w:eastAsia="Calibri" w:hAnsi="Arial" w:cs="Arial"/>
          <w:i/>
          <w:lang w:val="es-CR" w:eastAsia="en-US"/>
        </w:rPr>
        <w:t>…</w:t>
      </w:r>
    </w:p>
    <w:p w:rsidR="00E86F25" w:rsidRPr="00E86F25" w:rsidRDefault="00E86F25" w:rsidP="00E86F25">
      <w:pPr>
        <w:ind w:left="993" w:right="333"/>
        <w:jc w:val="both"/>
        <w:rPr>
          <w:rFonts w:ascii="Arial" w:eastAsia="Calibri" w:hAnsi="Arial" w:cs="Arial"/>
          <w:i/>
          <w:lang w:val="es-CR" w:eastAsia="en-US"/>
        </w:rPr>
      </w:pPr>
      <w:r w:rsidRPr="00E86F25">
        <w:rPr>
          <w:rFonts w:ascii="Arial" w:eastAsia="Calibri" w:hAnsi="Arial" w:cs="Arial"/>
          <w:i/>
          <w:lang w:val="es-CR" w:eastAsia="en-US"/>
        </w:rPr>
        <w:t>c. La creación, modificación y eliminación de plazas</w:t>
      </w:r>
      <w:r>
        <w:rPr>
          <w:rFonts w:ascii="Arial" w:eastAsia="Calibri" w:hAnsi="Arial" w:cs="Arial"/>
          <w:i/>
          <w:lang w:val="es-CR" w:eastAsia="en-US"/>
        </w:rPr>
        <w:t>”</w:t>
      </w:r>
      <w:r w:rsidRPr="00E86F25">
        <w:rPr>
          <w:rFonts w:ascii="Arial" w:eastAsia="Calibri" w:hAnsi="Arial" w:cs="Arial"/>
          <w:i/>
          <w:lang w:val="es-CR" w:eastAsia="en-US"/>
        </w:rPr>
        <w:t>.</w:t>
      </w:r>
    </w:p>
    <w:p w:rsidR="00E86F25" w:rsidRPr="00E86F25" w:rsidRDefault="00E86F25" w:rsidP="00E86F25">
      <w:pPr>
        <w:ind w:left="709"/>
        <w:jc w:val="both"/>
        <w:rPr>
          <w:rFonts w:ascii="Arial" w:eastAsia="Calibri" w:hAnsi="Arial" w:cs="Arial"/>
          <w:lang w:val="es-CR" w:eastAsia="en-US"/>
        </w:rPr>
      </w:pPr>
    </w:p>
    <w:p w:rsidR="00E86F25" w:rsidRPr="00E86F25" w:rsidRDefault="00E86F25" w:rsidP="00E86F25">
      <w:pPr>
        <w:numPr>
          <w:ilvl w:val="0"/>
          <w:numId w:val="9"/>
        </w:numPr>
        <w:ind w:left="426" w:hanging="426"/>
        <w:contextualSpacing/>
        <w:jc w:val="both"/>
        <w:rPr>
          <w:rFonts w:ascii="Arial" w:eastAsia="Calibri" w:hAnsi="Arial" w:cs="Arial"/>
          <w:lang w:val="es-CR" w:eastAsia="en-US"/>
        </w:rPr>
      </w:pPr>
      <w:r w:rsidRPr="00E86F25">
        <w:rPr>
          <w:rFonts w:ascii="Arial" w:eastAsia="Calibri" w:hAnsi="Arial" w:cs="Arial"/>
          <w:lang w:val="es-CR" w:eastAsia="en-US"/>
        </w:rPr>
        <w:t>Las Normas de Contratación y Remuneración del Personal del Instituto Tecnológico de Costa Rica, indican en su Artículo 2, inciso a, lo siguiente:</w:t>
      </w:r>
    </w:p>
    <w:p w:rsidR="00E86F25" w:rsidRPr="00E86F25" w:rsidRDefault="00E86F25" w:rsidP="00E86F25">
      <w:pPr>
        <w:ind w:left="708"/>
        <w:jc w:val="both"/>
        <w:rPr>
          <w:rFonts w:ascii="Arial" w:eastAsia="Calibri" w:hAnsi="Arial" w:cs="Arial"/>
          <w:lang w:val="es-CR" w:eastAsia="en-US"/>
        </w:rPr>
      </w:pPr>
    </w:p>
    <w:p w:rsidR="00E86F25" w:rsidRPr="00E86F25" w:rsidRDefault="00E86F25" w:rsidP="00E86F25">
      <w:pPr>
        <w:ind w:left="993" w:right="333"/>
        <w:jc w:val="both"/>
        <w:rPr>
          <w:rFonts w:ascii="Arial" w:eastAsia="Calibri" w:hAnsi="Arial" w:cs="Arial"/>
          <w:i/>
          <w:sz w:val="22"/>
          <w:szCs w:val="22"/>
          <w:lang w:val="es-CR" w:eastAsia="en-US"/>
        </w:rPr>
      </w:pPr>
      <w:r w:rsidRPr="00E86F25">
        <w:rPr>
          <w:rFonts w:ascii="Arial" w:eastAsia="Calibri" w:hAnsi="Arial" w:cs="Arial"/>
          <w:i/>
          <w:sz w:val="22"/>
          <w:szCs w:val="22"/>
          <w:lang w:val="es-CR" w:eastAsia="en-US"/>
        </w:rPr>
        <w:t>“</w:t>
      </w:r>
      <w:r w:rsidRPr="00E86F25">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sidRPr="00E86F25">
        <w:rPr>
          <w:rFonts w:ascii="Arial" w:eastAsia="Calibri" w:hAnsi="Arial" w:cs="Arial"/>
          <w:i/>
          <w:sz w:val="22"/>
          <w:szCs w:val="22"/>
          <w:lang w:val="es-CR" w:eastAsia="en-US"/>
        </w:rPr>
        <w:t>”</w:t>
      </w:r>
      <w:r w:rsidRPr="00E86F25">
        <w:rPr>
          <w:rFonts w:ascii="Arial" w:eastAsia="Calibri" w:hAnsi="Arial" w:cs="Arial"/>
          <w:i/>
          <w:sz w:val="22"/>
          <w:szCs w:val="22"/>
          <w:lang w:val="es-CR" w:eastAsia="en-US"/>
        </w:rPr>
        <w:t>.</w:t>
      </w:r>
    </w:p>
    <w:p w:rsidR="00E86F25" w:rsidRPr="00E86F25" w:rsidRDefault="00E86F25" w:rsidP="00E86F25">
      <w:pPr>
        <w:ind w:left="426"/>
        <w:jc w:val="both"/>
        <w:rPr>
          <w:rFonts w:ascii="Arial" w:eastAsia="Calibri" w:hAnsi="Arial" w:cs="Arial"/>
          <w:lang w:val="es-CR" w:eastAsia="en-US"/>
        </w:rPr>
      </w:pPr>
    </w:p>
    <w:p w:rsidR="00E86F25" w:rsidRDefault="00E86F25" w:rsidP="00E86F25">
      <w:pPr>
        <w:numPr>
          <w:ilvl w:val="0"/>
          <w:numId w:val="9"/>
        </w:numPr>
        <w:ind w:left="426" w:hanging="426"/>
        <w:contextualSpacing/>
        <w:jc w:val="both"/>
        <w:rPr>
          <w:rFonts w:ascii="Arial" w:eastAsia="Calibri" w:hAnsi="Arial" w:cs="Arial"/>
          <w:lang w:val="es-CR" w:eastAsia="en-US"/>
        </w:rPr>
      </w:pPr>
      <w:r w:rsidRPr="00E86F25">
        <w:rPr>
          <w:rFonts w:ascii="Arial" w:eastAsia="Calibri" w:hAnsi="Arial" w:cs="Arial"/>
          <w:lang w:val="es-CR" w:eastAsia="en-US"/>
        </w:rPr>
        <w:t>El Consejo Institucional en la Sesión Ordinaria No. 3047, Artículo 9, del 15 de noviembre de 2017 aprobó  la apertura del Programa de Licenciatura en Ingeniería en Electrónica en el Centro Académico Alajuela, en el inciso b) aprobó  para el año 2018 la creación de 6 plazas equivalentes a 5,5 tiempos completos, con cargo a los recursos del Fondo del Sistema aprobados para el 2018, para dar soporte a la Carrera de Ingeniería Electrónica en Centro Académico de Alajuela (Sede Interuniversitaria de Alajuela), con las características que se describen en el siguiente cuadro:</w:t>
      </w:r>
    </w:p>
    <w:p w:rsidR="00E86F25" w:rsidRPr="00E86F25" w:rsidRDefault="00E86F25" w:rsidP="00E86F25">
      <w:pPr>
        <w:ind w:left="720"/>
        <w:contextualSpacing/>
        <w:jc w:val="both"/>
        <w:rPr>
          <w:rFonts w:ascii="Arial" w:eastAsia="Calibri" w:hAnsi="Arial" w:cs="Arial"/>
          <w:lang w:val="es-CR" w:eastAsia="en-US"/>
        </w:rPr>
      </w:pPr>
    </w:p>
    <w:tbl>
      <w:tblPr>
        <w:tblW w:w="9426" w:type="dxa"/>
        <w:tblCellMar>
          <w:left w:w="70" w:type="dxa"/>
          <w:right w:w="70" w:type="dxa"/>
        </w:tblCellMar>
        <w:tblLook w:val="04A0" w:firstRow="1" w:lastRow="0" w:firstColumn="1" w:lastColumn="0" w:noHBand="0" w:noVBand="1"/>
      </w:tblPr>
      <w:tblGrid>
        <w:gridCol w:w="317"/>
        <w:gridCol w:w="342"/>
        <w:gridCol w:w="745"/>
        <w:gridCol w:w="1170"/>
        <w:gridCol w:w="425"/>
        <w:gridCol w:w="567"/>
        <w:gridCol w:w="567"/>
        <w:gridCol w:w="513"/>
        <w:gridCol w:w="1072"/>
        <w:gridCol w:w="1269"/>
        <w:gridCol w:w="2439"/>
      </w:tblGrid>
      <w:tr w:rsidR="00E86F25" w:rsidRPr="00E86F25" w:rsidTr="00532B7D">
        <w:trPr>
          <w:trHeight w:val="841"/>
        </w:trPr>
        <w:tc>
          <w:tcPr>
            <w:tcW w:w="317"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lastRenderedPageBreak/>
              <w:t>#</w:t>
            </w:r>
          </w:p>
        </w:tc>
        <w:tc>
          <w:tcPr>
            <w:tcW w:w="34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Programa</w:t>
            </w:r>
          </w:p>
        </w:tc>
        <w:tc>
          <w:tcPr>
            <w:tcW w:w="745"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Nuevo</w:t>
            </w:r>
            <w:r w:rsidRPr="00E86F25">
              <w:rPr>
                <w:rFonts w:ascii="Arial" w:hAnsi="Arial" w:cs="Arial"/>
                <w:b/>
                <w:bCs/>
                <w:color w:val="FFFFFF"/>
                <w:sz w:val="16"/>
                <w:szCs w:val="16"/>
                <w:lang w:val="es-CR" w:eastAsia="es-CR"/>
              </w:rPr>
              <w:br/>
              <w:t>Número Plaza</w:t>
            </w:r>
          </w:p>
        </w:tc>
        <w:tc>
          <w:tcPr>
            <w:tcW w:w="1170"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Puesto</w:t>
            </w:r>
          </w:p>
        </w:tc>
        <w:tc>
          <w:tcPr>
            <w:tcW w:w="425"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Categoría</w:t>
            </w:r>
          </w:p>
        </w:tc>
        <w:tc>
          <w:tcPr>
            <w:tcW w:w="567"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Jornada</w:t>
            </w:r>
          </w:p>
        </w:tc>
        <w:tc>
          <w:tcPr>
            <w:tcW w:w="567"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Periodo (meses)</w:t>
            </w:r>
          </w:p>
        </w:tc>
        <w:tc>
          <w:tcPr>
            <w:tcW w:w="513"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TCE</w:t>
            </w:r>
          </w:p>
        </w:tc>
        <w:tc>
          <w:tcPr>
            <w:tcW w:w="1072"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Costo</w:t>
            </w:r>
          </w:p>
        </w:tc>
        <w:tc>
          <w:tcPr>
            <w:tcW w:w="1269"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Nombramiento</w:t>
            </w:r>
          </w:p>
        </w:tc>
        <w:tc>
          <w:tcPr>
            <w:tcW w:w="2439" w:type="dxa"/>
            <w:tcBorders>
              <w:top w:val="single" w:sz="4" w:space="0" w:color="auto"/>
              <w:left w:val="nil"/>
              <w:bottom w:val="single" w:sz="4" w:space="0" w:color="auto"/>
              <w:right w:val="single" w:sz="4" w:space="0" w:color="auto"/>
            </w:tcBorders>
            <w:shd w:val="clear" w:color="000000" w:fill="2F75B5"/>
            <w:vAlign w:val="center"/>
            <w:hideMark/>
          </w:tcPr>
          <w:p w:rsidR="00E86F25" w:rsidRPr="00E86F25" w:rsidRDefault="00E86F25" w:rsidP="00E86F25">
            <w:pPr>
              <w:jc w:val="center"/>
              <w:rPr>
                <w:rFonts w:ascii="Arial" w:hAnsi="Arial" w:cs="Arial"/>
                <w:b/>
                <w:bCs/>
                <w:color w:val="FFFFFF"/>
                <w:sz w:val="16"/>
                <w:szCs w:val="16"/>
                <w:lang w:val="es-CR" w:eastAsia="es-CR"/>
              </w:rPr>
            </w:pPr>
            <w:r w:rsidRPr="00E86F25">
              <w:rPr>
                <w:rFonts w:ascii="Arial" w:hAnsi="Arial" w:cs="Arial"/>
                <w:b/>
                <w:bCs/>
                <w:color w:val="FFFFFF"/>
                <w:sz w:val="16"/>
                <w:szCs w:val="16"/>
                <w:lang w:val="es-CR" w:eastAsia="es-CR"/>
              </w:rPr>
              <w:t>Adscrita 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FSLA024</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Asistente de Administración 2</w:t>
            </w:r>
          </w:p>
        </w:tc>
        <w:tc>
          <w:tcPr>
            <w:tcW w:w="425"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8.518.307,47</w:t>
            </w:r>
          </w:p>
        </w:tc>
        <w:tc>
          <w:tcPr>
            <w:tcW w:w="1269"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Centro Académico de Alajuela, Unidad desconcentrada Ingeniería en Electrónica, Asistente para apoyo a la academia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FSLA025</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Profesor (a)</w:t>
            </w:r>
          </w:p>
        </w:tc>
        <w:tc>
          <w:tcPr>
            <w:tcW w:w="425"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22.893.908,11</w:t>
            </w:r>
          </w:p>
        </w:tc>
        <w:tc>
          <w:tcPr>
            <w:tcW w:w="1269"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Vicerrectoría de Docencia, Profesores para los cursos de la Carrera de Ingeniería en Electrónica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3</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FSLA026</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Profesor (a)</w:t>
            </w:r>
          </w:p>
        </w:tc>
        <w:tc>
          <w:tcPr>
            <w:tcW w:w="425"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22.893.908,11</w:t>
            </w:r>
          </w:p>
        </w:tc>
        <w:tc>
          <w:tcPr>
            <w:tcW w:w="1269"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Vicerrectoría de Docencia, Profesores para los cursos de la Carrera de Ingeniería en Electrónica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4</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FSLA027</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Profesor (a)</w:t>
            </w:r>
          </w:p>
        </w:tc>
        <w:tc>
          <w:tcPr>
            <w:tcW w:w="425"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22.893.908,11</w:t>
            </w:r>
          </w:p>
        </w:tc>
        <w:tc>
          <w:tcPr>
            <w:tcW w:w="1269"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Vicerrectoría de Docencia, Profesores para los cursos de la Carrera de Ingeniería en Electrónica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5</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FSLA028</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Profesor (a)</w:t>
            </w:r>
          </w:p>
        </w:tc>
        <w:tc>
          <w:tcPr>
            <w:tcW w:w="425"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1,00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22.893.908,11</w:t>
            </w:r>
          </w:p>
        </w:tc>
        <w:tc>
          <w:tcPr>
            <w:tcW w:w="1269"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Profesor, Unidad desconcentrada Ingeniería en Electrónica</w:t>
            </w:r>
          </w:p>
        </w:tc>
      </w:tr>
      <w:tr w:rsidR="00E86F25" w:rsidRPr="00E86F25" w:rsidTr="00532B7D">
        <w:trPr>
          <w:trHeight w:val="561"/>
        </w:trPr>
        <w:tc>
          <w:tcPr>
            <w:tcW w:w="317" w:type="dxa"/>
            <w:tcBorders>
              <w:top w:val="nil"/>
              <w:left w:val="single" w:sz="4" w:space="0" w:color="auto"/>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6</w:t>
            </w:r>
          </w:p>
        </w:tc>
        <w:tc>
          <w:tcPr>
            <w:tcW w:w="342" w:type="dxa"/>
            <w:tcBorders>
              <w:top w:val="nil"/>
              <w:left w:val="nil"/>
              <w:bottom w:val="single" w:sz="4" w:space="0" w:color="auto"/>
              <w:right w:val="single" w:sz="4" w:space="0" w:color="auto"/>
            </w:tcBorders>
            <w:shd w:val="clear" w:color="000000" w:fill="FFFFFF"/>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2</w:t>
            </w:r>
          </w:p>
        </w:tc>
        <w:tc>
          <w:tcPr>
            <w:tcW w:w="745"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FSLA029</w:t>
            </w:r>
          </w:p>
        </w:tc>
        <w:tc>
          <w:tcPr>
            <w:tcW w:w="1170"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Profesor (a)</w:t>
            </w:r>
          </w:p>
        </w:tc>
        <w:tc>
          <w:tcPr>
            <w:tcW w:w="425"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50%</w:t>
            </w:r>
          </w:p>
        </w:tc>
        <w:tc>
          <w:tcPr>
            <w:tcW w:w="567"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color w:val="000000"/>
                <w:sz w:val="16"/>
                <w:szCs w:val="16"/>
                <w:lang w:val="es-CR" w:eastAsia="es-CR"/>
              </w:rPr>
            </w:pPr>
            <w:r w:rsidRPr="00E86F25">
              <w:rPr>
                <w:rFonts w:ascii="Calibri" w:hAnsi="Calibri"/>
                <w:color w:val="000000"/>
                <w:sz w:val="16"/>
                <w:szCs w:val="16"/>
                <w:lang w:val="es-CR" w:eastAsia="es-CR"/>
              </w:rPr>
              <w:t>12</w:t>
            </w:r>
          </w:p>
        </w:tc>
        <w:tc>
          <w:tcPr>
            <w:tcW w:w="513"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0,50</w:t>
            </w:r>
          </w:p>
        </w:tc>
        <w:tc>
          <w:tcPr>
            <w:tcW w:w="1072" w:type="dxa"/>
            <w:tcBorders>
              <w:top w:val="nil"/>
              <w:left w:val="nil"/>
              <w:bottom w:val="single" w:sz="4" w:space="0" w:color="auto"/>
              <w:right w:val="single" w:sz="4" w:space="0" w:color="auto"/>
            </w:tcBorders>
            <w:shd w:val="clear" w:color="auto" w:fill="auto"/>
            <w:vAlign w:val="center"/>
            <w:hideMark/>
          </w:tcPr>
          <w:p w:rsidR="00E86F25" w:rsidRPr="00E86F25" w:rsidRDefault="00E86F25" w:rsidP="00E86F25">
            <w:pPr>
              <w:jc w:val="right"/>
              <w:rPr>
                <w:rFonts w:ascii="Calibri" w:hAnsi="Calibri"/>
                <w:sz w:val="16"/>
                <w:szCs w:val="16"/>
                <w:lang w:val="es-CR" w:eastAsia="es-CR"/>
              </w:rPr>
            </w:pPr>
            <w:r w:rsidRPr="00E86F25">
              <w:rPr>
                <w:rFonts w:ascii="Calibri" w:hAnsi="Calibri"/>
                <w:sz w:val="16"/>
                <w:szCs w:val="16"/>
                <w:lang w:val="es-CR" w:eastAsia="es-CR"/>
              </w:rPr>
              <w:t>11.446.954,06</w:t>
            </w:r>
          </w:p>
        </w:tc>
        <w:tc>
          <w:tcPr>
            <w:tcW w:w="1269" w:type="dxa"/>
            <w:tcBorders>
              <w:top w:val="nil"/>
              <w:left w:val="nil"/>
              <w:bottom w:val="single" w:sz="4" w:space="0" w:color="auto"/>
              <w:right w:val="single" w:sz="4" w:space="0" w:color="auto"/>
            </w:tcBorders>
            <w:shd w:val="clear" w:color="auto" w:fill="auto"/>
            <w:noWrap/>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Temporal</w:t>
            </w:r>
          </w:p>
        </w:tc>
        <w:tc>
          <w:tcPr>
            <w:tcW w:w="2439" w:type="dxa"/>
            <w:tcBorders>
              <w:top w:val="nil"/>
              <w:left w:val="nil"/>
              <w:bottom w:val="single" w:sz="4" w:space="0" w:color="auto"/>
              <w:right w:val="single" w:sz="4" w:space="0" w:color="auto"/>
            </w:tcBorders>
            <w:shd w:val="clear" w:color="000000" w:fill="FFFFFF"/>
            <w:vAlign w:val="center"/>
            <w:hideMark/>
          </w:tcPr>
          <w:p w:rsidR="00E86F25" w:rsidRPr="00E86F25" w:rsidRDefault="00E86F25" w:rsidP="00E86F25">
            <w:pPr>
              <w:jc w:val="center"/>
              <w:rPr>
                <w:rFonts w:ascii="Calibri" w:hAnsi="Calibri"/>
                <w:sz w:val="16"/>
                <w:szCs w:val="16"/>
                <w:lang w:val="es-CR" w:eastAsia="es-CR"/>
              </w:rPr>
            </w:pPr>
            <w:r w:rsidRPr="00E86F25">
              <w:rPr>
                <w:rFonts w:ascii="Calibri" w:hAnsi="Calibri"/>
                <w:sz w:val="16"/>
                <w:szCs w:val="16"/>
                <w:lang w:val="es-CR" w:eastAsia="es-CR"/>
              </w:rPr>
              <w:t>Centro Académico de Alajuela, Coordinador Unidad desconcentrada Ingeniería en Electrónica</w:t>
            </w:r>
          </w:p>
        </w:tc>
      </w:tr>
    </w:tbl>
    <w:p w:rsidR="00E86F25" w:rsidRPr="00E86F25" w:rsidRDefault="00E86F25" w:rsidP="00E86F25">
      <w:pPr>
        <w:ind w:left="852"/>
        <w:jc w:val="both"/>
        <w:rPr>
          <w:sz w:val="16"/>
          <w:szCs w:val="16"/>
        </w:rPr>
      </w:pPr>
    </w:p>
    <w:p w:rsidR="00E86F25" w:rsidRPr="00E86F25" w:rsidRDefault="00E86F25" w:rsidP="00E86F25">
      <w:pPr>
        <w:numPr>
          <w:ilvl w:val="0"/>
          <w:numId w:val="9"/>
        </w:numPr>
        <w:ind w:left="426" w:hanging="426"/>
        <w:contextualSpacing/>
        <w:jc w:val="both"/>
        <w:rPr>
          <w:rFonts w:ascii="Arial" w:eastAsia="Calibri" w:hAnsi="Arial" w:cs="Arial"/>
          <w:sz w:val="22"/>
          <w:szCs w:val="22"/>
          <w:lang w:val="es-CR" w:eastAsia="en-US"/>
        </w:rPr>
      </w:pPr>
      <w:r w:rsidRPr="00E86F25">
        <w:rPr>
          <w:rFonts w:ascii="Arial" w:eastAsia="Calibri" w:hAnsi="Arial" w:cs="Arial"/>
          <w:lang w:val="es-CR" w:eastAsia="en-US"/>
        </w:rPr>
        <w:t xml:space="preserve">El Consejo Institucional en la Sesión Ordinaria No. 3048, Artículo 9, del 22 de noviembre de 2017 modificó </w:t>
      </w:r>
      <w:r w:rsidRPr="00E86F25">
        <w:rPr>
          <w:rFonts w:ascii="Arial" w:eastAsia="Calibri" w:hAnsi="Arial" w:cs="Arial"/>
          <w:sz w:val="22"/>
          <w:szCs w:val="22"/>
          <w:lang w:val="es-CR" w:eastAsia="en-US"/>
        </w:rPr>
        <w:t>el inciso b) línea 6, del acuerdo de la Sesión No. 3047, Artículo 9, del 15 de noviembre de 2017, “Apertura del Programa de Licenciatura en Ingeniería en Electrónica en el Centro Académico Alajuela”, para que se lea de la siguiente manera:</w:t>
      </w:r>
    </w:p>
    <w:p w:rsidR="00E86F25" w:rsidRPr="00E86F25" w:rsidRDefault="00E86F25" w:rsidP="00E86F25">
      <w:pPr>
        <w:ind w:left="852"/>
        <w:jc w:val="both"/>
        <w:rPr>
          <w:sz w:val="16"/>
          <w:szCs w:val="16"/>
        </w:rPr>
      </w:pPr>
    </w:p>
    <w:tbl>
      <w:tblPr>
        <w:tblW w:w="5251" w:type="pct"/>
        <w:tblInd w:w="-10" w:type="dxa"/>
        <w:tblCellMar>
          <w:left w:w="0" w:type="dxa"/>
          <w:right w:w="0" w:type="dxa"/>
        </w:tblCellMar>
        <w:tblLook w:val="04A0" w:firstRow="1" w:lastRow="0" w:firstColumn="1" w:lastColumn="0" w:noHBand="0" w:noVBand="1"/>
      </w:tblPr>
      <w:tblGrid>
        <w:gridCol w:w="269"/>
        <w:gridCol w:w="430"/>
        <w:gridCol w:w="1321"/>
        <w:gridCol w:w="1207"/>
        <w:gridCol w:w="1000"/>
        <w:gridCol w:w="1979"/>
        <w:gridCol w:w="2448"/>
        <w:gridCol w:w="850"/>
      </w:tblGrid>
      <w:tr w:rsidR="00E86F25" w:rsidRPr="00E86F25" w:rsidTr="00532B7D">
        <w:trPr>
          <w:trHeight w:val="676"/>
        </w:trPr>
        <w:tc>
          <w:tcPr>
            <w:tcW w:w="142" w:type="pct"/>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w:t>
            </w:r>
          </w:p>
        </w:tc>
        <w:tc>
          <w:tcPr>
            <w:tcW w:w="22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Programa</w:t>
            </w:r>
          </w:p>
        </w:tc>
        <w:tc>
          <w:tcPr>
            <w:tcW w:w="69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 xml:space="preserve">Sesión de </w:t>
            </w:r>
            <w:r w:rsidRPr="00E86F25">
              <w:rPr>
                <w:rFonts w:ascii="Calibri" w:eastAsia="Calibri" w:hAnsi="Calibri" w:cs="Calibri"/>
                <w:b/>
                <w:bCs/>
                <w:color w:val="FFFFFF"/>
                <w:sz w:val="16"/>
                <w:szCs w:val="16"/>
                <w:lang w:val="es-CR" w:eastAsia="es-CR"/>
              </w:rPr>
              <w:br/>
              <w:t>Consejo Institucional Creación</w:t>
            </w:r>
          </w:p>
        </w:tc>
        <w:tc>
          <w:tcPr>
            <w:tcW w:w="63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Costos</w:t>
            </w:r>
          </w:p>
        </w:tc>
        <w:tc>
          <w:tcPr>
            <w:tcW w:w="52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Fondos</w:t>
            </w:r>
            <w:r w:rsidRPr="00E86F25">
              <w:rPr>
                <w:rFonts w:ascii="Calibri" w:eastAsia="Calibri" w:hAnsi="Calibri" w:cs="Calibri"/>
                <w:b/>
                <w:bCs/>
                <w:color w:val="FFFFFF"/>
                <w:sz w:val="16"/>
                <w:szCs w:val="16"/>
                <w:lang w:val="es-CR" w:eastAsia="es-CR"/>
              </w:rPr>
              <w:br/>
              <w:t>Origen</w:t>
            </w:r>
          </w:p>
        </w:tc>
        <w:tc>
          <w:tcPr>
            <w:tcW w:w="1041"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Funciones</w:t>
            </w:r>
          </w:p>
        </w:tc>
        <w:tc>
          <w:tcPr>
            <w:tcW w:w="1288"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Justificación</w:t>
            </w:r>
          </w:p>
        </w:tc>
        <w:tc>
          <w:tcPr>
            <w:tcW w:w="44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b/>
                <w:bCs/>
                <w:color w:val="FFFFFF"/>
                <w:sz w:val="16"/>
                <w:szCs w:val="16"/>
                <w:lang w:val="es-CR" w:eastAsia="es-CR"/>
              </w:rPr>
            </w:pPr>
            <w:r w:rsidRPr="00E86F25">
              <w:rPr>
                <w:rFonts w:ascii="Calibri" w:eastAsia="Calibri" w:hAnsi="Calibri" w:cs="Calibri"/>
                <w:b/>
                <w:bCs/>
                <w:color w:val="FFFFFF"/>
                <w:sz w:val="16"/>
                <w:szCs w:val="16"/>
                <w:lang w:val="es-CR" w:eastAsia="es-CR"/>
              </w:rPr>
              <w:t>TCE</w:t>
            </w:r>
          </w:p>
        </w:tc>
      </w:tr>
      <w:tr w:rsidR="00E86F25" w:rsidRPr="00E86F25" w:rsidTr="00532B7D">
        <w:trPr>
          <w:trHeight w:val="327"/>
        </w:trPr>
        <w:tc>
          <w:tcPr>
            <w:tcW w:w="14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6</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color w:val="000000"/>
                <w:sz w:val="16"/>
                <w:szCs w:val="16"/>
                <w:lang w:val="es-CR" w:eastAsia="es-CR"/>
              </w:rPr>
            </w:pPr>
            <w:r w:rsidRPr="00E86F25">
              <w:rPr>
                <w:rFonts w:ascii="Calibri" w:eastAsia="Calibri" w:hAnsi="Calibri" w:cs="Calibri"/>
                <w:color w:val="000000"/>
                <w:sz w:val="16"/>
                <w:szCs w:val="16"/>
                <w:lang w:val="es-CR" w:eastAsia="es-CR"/>
              </w:rPr>
              <w:t>FSLA029</w:t>
            </w:r>
          </w:p>
        </w:tc>
        <w:tc>
          <w:tcPr>
            <w:tcW w:w="63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86F25" w:rsidRPr="00E86F25" w:rsidRDefault="00E86F25" w:rsidP="00E86F25">
            <w:pPr>
              <w:jc w:val="right"/>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15.580.576,36</w:t>
            </w:r>
          </w:p>
        </w:tc>
        <w:tc>
          <w:tcPr>
            <w:tcW w:w="526"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Fondo del Sistema</w:t>
            </w:r>
          </w:p>
        </w:tc>
        <w:tc>
          <w:tcPr>
            <w:tcW w:w="104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Para coordinar lo respectivo en la Ingeniería de Electrónica en el CAAL.</w:t>
            </w:r>
          </w:p>
        </w:tc>
        <w:tc>
          <w:tcPr>
            <w:tcW w:w="128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sz w:val="16"/>
                <w:szCs w:val="16"/>
                <w:lang w:val="es-CR" w:eastAsia="es-CR"/>
              </w:rPr>
            </w:pPr>
            <w:r w:rsidRPr="00E86F25">
              <w:rPr>
                <w:rFonts w:ascii="Calibri" w:eastAsia="Calibri" w:hAnsi="Calibri" w:cs="Calibri"/>
                <w:sz w:val="16"/>
                <w:szCs w:val="16"/>
                <w:lang w:val="es-CR" w:eastAsia="es-CR"/>
              </w:rPr>
              <w:t>Se requiere un coordinador para atender  lo referente a la Carrera de Ingeniería en Electrónica en el CAAL.</w:t>
            </w:r>
          </w:p>
        </w:tc>
        <w:tc>
          <w:tcPr>
            <w:tcW w:w="447"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s="Calibri"/>
                <w:color w:val="000000"/>
                <w:sz w:val="16"/>
                <w:szCs w:val="16"/>
                <w:lang w:val="es-CR" w:eastAsia="es-CR"/>
              </w:rPr>
            </w:pPr>
            <w:r w:rsidRPr="00E86F25">
              <w:rPr>
                <w:rFonts w:ascii="Calibri" w:eastAsia="Calibri" w:hAnsi="Calibri" w:cs="Calibri"/>
                <w:color w:val="000000"/>
                <w:sz w:val="16"/>
                <w:szCs w:val="16"/>
                <w:lang w:val="es-CR" w:eastAsia="es-CR"/>
              </w:rPr>
              <w:t>0,50</w:t>
            </w:r>
          </w:p>
        </w:tc>
      </w:tr>
    </w:tbl>
    <w:p w:rsidR="00E86F25" w:rsidRPr="00E86F25" w:rsidRDefault="00E86F25" w:rsidP="00E86F25">
      <w:pPr>
        <w:rPr>
          <w:rFonts w:ascii="Arial" w:hAnsi="Arial" w:cs="Arial"/>
          <w:b/>
          <w:sz w:val="28"/>
        </w:rPr>
      </w:pPr>
    </w:p>
    <w:p w:rsidR="00E86F25" w:rsidRPr="00E86F25" w:rsidRDefault="00E86F25" w:rsidP="00E86F25">
      <w:pPr>
        <w:rPr>
          <w:rFonts w:ascii="Arial" w:hAnsi="Arial" w:cs="Arial"/>
          <w:b/>
          <w:sz w:val="28"/>
        </w:rPr>
      </w:pPr>
      <w:r w:rsidRPr="00E86F25">
        <w:rPr>
          <w:rFonts w:ascii="Arial" w:hAnsi="Arial" w:cs="Arial"/>
          <w:b/>
          <w:sz w:val="28"/>
        </w:rPr>
        <w:t>CONSIDERANDO QUE:</w:t>
      </w:r>
    </w:p>
    <w:p w:rsidR="00E86F25" w:rsidRPr="00E86F25" w:rsidRDefault="00E86F25" w:rsidP="00E86F25">
      <w:pPr>
        <w:rPr>
          <w:rFonts w:ascii="Arial" w:hAnsi="Arial" w:cs="Arial"/>
          <w:b/>
          <w:sz w:val="28"/>
        </w:rPr>
      </w:pPr>
    </w:p>
    <w:p w:rsidR="00E86F25" w:rsidRPr="00E86F25" w:rsidRDefault="00E86F25" w:rsidP="00E86F25">
      <w:pPr>
        <w:numPr>
          <w:ilvl w:val="0"/>
          <w:numId w:val="24"/>
        </w:numPr>
        <w:ind w:left="284"/>
        <w:contextualSpacing/>
        <w:jc w:val="both"/>
        <w:rPr>
          <w:rFonts w:ascii="Arial" w:hAnsi="Arial" w:cs="Arial"/>
          <w:lang w:val="es-ES_tradnl" w:eastAsia="en-US"/>
        </w:rPr>
      </w:pPr>
      <w:r w:rsidRPr="00E86F25">
        <w:rPr>
          <w:rFonts w:ascii="Arial" w:hAnsi="Arial" w:cs="Arial"/>
          <w:lang w:val="es-ES_tradnl" w:eastAsia="en-US"/>
        </w:rPr>
        <w:t xml:space="preserve">La Secretaría del Consejo Institucional recibe oficio con fecha de recibido 08 de diciembre de 2017, suscrito por el MBA. Harold Blanco, Director del Departamento de Recursos Humanos, dirigido a la Licda. </w:t>
      </w:r>
      <w:proofErr w:type="spellStart"/>
      <w:r w:rsidRPr="00E86F25">
        <w:rPr>
          <w:rFonts w:ascii="Arial" w:hAnsi="Arial" w:cs="Arial"/>
          <w:lang w:val="es-ES_tradnl" w:eastAsia="en-US"/>
        </w:rPr>
        <w:t>Bertalía</w:t>
      </w:r>
      <w:proofErr w:type="spellEnd"/>
      <w:r w:rsidRPr="00E86F25">
        <w:rPr>
          <w:rFonts w:ascii="Arial" w:hAnsi="Arial" w:cs="Arial"/>
          <w:lang w:val="es-ES_tradnl" w:eastAsia="en-US"/>
        </w:rPr>
        <w:t xml:space="preserve"> Sánchez Salas, Directora Ejecutiva Secretaría del Consejo Institucional, en el cual </w:t>
      </w:r>
      <w:r w:rsidRPr="00E86F25">
        <w:rPr>
          <w:rFonts w:ascii="Arial" w:eastAsia="Calibri" w:hAnsi="Arial" w:cs="Arial"/>
          <w:sz w:val="22"/>
          <w:szCs w:val="22"/>
          <w:lang w:val="es-CR" w:eastAsia="en-US"/>
        </w:rPr>
        <w:t xml:space="preserve">solicita que se realice la rectificación de los códigos de las plazas aprobadas mediante el acuerdo Sesión </w:t>
      </w:r>
      <w:r w:rsidRPr="00E86F25">
        <w:rPr>
          <w:rFonts w:ascii="Arial" w:eastAsia="Calibri" w:hAnsi="Arial" w:cs="Arial"/>
          <w:lang w:val="es-CR" w:eastAsia="en-US"/>
        </w:rPr>
        <w:t>No. 3047, Artículo 9, del 15 de noviembre de 2017 “Apertura del Programa de Licenciatura en Ingeniería en Electrónica en el Centro Académico Alajuela”</w:t>
      </w:r>
      <w:r w:rsidRPr="00E86F25">
        <w:rPr>
          <w:rFonts w:ascii="Arial" w:eastAsia="Calibri" w:hAnsi="Arial" w:cs="Arial"/>
          <w:sz w:val="22"/>
          <w:szCs w:val="22"/>
          <w:lang w:val="es-CR" w:eastAsia="en-US"/>
        </w:rPr>
        <w:t xml:space="preserve"> y solicita lo siguiente:</w:t>
      </w:r>
    </w:p>
    <w:p w:rsidR="00E86F25" w:rsidRPr="00E86F25" w:rsidRDefault="00E86F25" w:rsidP="00E86F25">
      <w:pPr>
        <w:ind w:left="-76"/>
        <w:contextualSpacing/>
        <w:jc w:val="both"/>
        <w:rPr>
          <w:rFonts w:ascii="Arial" w:hAnsi="Arial" w:cs="Arial"/>
          <w:highlight w:val="yellow"/>
          <w:lang w:val="es-ES_tradnl" w:eastAsia="en-US"/>
        </w:rPr>
      </w:pPr>
    </w:p>
    <w:p w:rsidR="00E86F25" w:rsidRPr="00E86F25" w:rsidRDefault="00E86F25" w:rsidP="00E86F25">
      <w:pPr>
        <w:ind w:left="567" w:right="474"/>
        <w:contextualSpacing/>
        <w:jc w:val="both"/>
        <w:rPr>
          <w:rFonts w:ascii="Arial" w:hAnsi="Arial" w:cs="Arial"/>
          <w:i/>
        </w:rPr>
      </w:pPr>
      <w:r w:rsidRPr="00E86F25">
        <w:rPr>
          <w:rFonts w:ascii="Arial" w:hAnsi="Arial" w:cs="Arial"/>
        </w:rPr>
        <w:t>“…</w:t>
      </w:r>
      <w:r w:rsidRPr="00E86F25">
        <w:rPr>
          <w:rFonts w:ascii="Arial" w:hAnsi="Arial" w:cs="Arial"/>
          <w:i/>
        </w:rPr>
        <w:t xml:space="preserve">se realice la rectificación de los códigos de las plazas aprobadas mediante Sesión N°3047 del 15 de noviembre de 2017, donde la codificación correcta es la FSAL; también se debe rectificar el costo aprobado para la plaza FSAL029, donde el monto correcto es de ¢15.580.576,36, a </w:t>
      </w:r>
      <w:proofErr w:type="gramStart"/>
      <w:r w:rsidRPr="00E86F25">
        <w:rPr>
          <w:rFonts w:ascii="Arial" w:hAnsi="Arial" w:cs="Arial"/>
          <w:i/>
        </w:rPr>
        <w:t>continuación</w:t>
      </w:r>
      <w:proofErr w:type="gramEnd"/>
      <w:r w:rsidRPr="00E86F25">
        <w:rPr>
          <w:rFonts w:ascii="Arial" w:hAnsi="Arial" w:cs="Arial"/>
          <w:i/>
        </w:rPr>
        <w:t xml:space="preserve"> se presentan los datos correctos de las plazas aprobadas para la apertura del Programa de Licenciatura en Ingeniería en Electrónica en el Centro Académico Alajuela”</w:t>
      </w:r>
    </w:p>
    <w:p w:rsidR="00E86F25" w:rsidRPr="00E86F25" w:rsidRDefault="00E86F25" w:rsidP="00E86F25">
      <w:pPr>
        <w:rPr>
          <w:rFonts w:ascii="Arial" w:hAnsi="Arial" w:cs="Arial"/>
          <w:b/>
          <w:sz w:val="28"/>
        </w:rPr>
      </w:pPr>
    </w:p>
    <w:p w:rsidR="00E86F25" w:rsidRPr="00E86F25" w:rsidRDefault="00E86F25" w:rsidP="00E86F25">
      <w:pPr>
        <w:numPr>
          <w:ilvl w:val="0"/>
          <w:numId w:val="24"/>
        </w:numPr>
        <w:ind w:left="284"/>
        <w:contextualSpacing/>
        <w:jc w:val="both"/>
        <w:rPr>
          <w:rFonts w:ascii="Arial" w:eastAsia="Calibri" w:hAnsi="Arial" w:cs="Arial"/>
          <w:lang w:val="es-CR" w:eastAsia="en-US"/>
        </w:rPr>
      </w:pPr>
      <w:r w:rsidRPr="00E86F25">
        <w:rPr>
          <w:rFonts w:ascii="Arial" w:eastAsia="Calibri" w:hAnsi="Arial" w:cs="Arial"/>
          <w:lang w:val="es-CR" w:eastAsia="en-US"/>
        </w:rPr>
        <w:t xml:space="preserve">La Comisión de Planificación y Administración en la reunión No. 755-2018, realizada el 8 de febrero de 2018, revisa la solicitud del Departamento de Recursos Humanos, y </w:t>
      </w:r>
      <w:r w:rsidRPr="00E86F25">
        <w:rPr>
          <w:rFonts w:ascii="Arial" w:hAnsi="Arial" w:cs="Arial"/>
          <w:lang w:val="es-ES_tradnl" w:eastAsia="en-US"/>
        </w:rPr>
        <w:t>dispone</w:t>
      </w:r>
      <w:r w:rsidRPr="00E86F25">
        <w:rPr>
          <w:rFonts w:ascii="Arial" w:eastAsia="Calibri" w:hAnsi="Arial" w:cs="Arial"/>
          <w:lang w:val="es-CR" w:eastAsia="en-US"/>
        </w:rPr>
        <w:t xml:space="preserve"> elevar la propuesta al pleno para la rectificar  los códigos de las plazas aprobadas para la apertura del Programa de Licenciatura en Ingeniería Electrónica en el Centro Académico Alajuela, en cuanto a la rectificación del monto de la plazas FSAL029, la misma ya fue atendida  mediante el acuerdo de la Sesión No. 3048, artículo 9 del 22 de noviembre, 2017.</w:t>
      </w:r>
    </w:p>
    <w:p w:rsidR="00E86F25" w:rsidRPr="00E86F25" w:rsidRDefault="00E86F25" w:rsidP="00E86F25">
      <w:pPr>
        <w:rPr>
          <w:rFonts w:ascii="Arial" w:hAnsi="Arial" w:cs="Arial"/>
          <w:b/>
          <w:sz w:val="28"/>
        </w:rPr>
      </w:pPr>
    </w:p>
    <w:p w:rsidR="00E86F25" w:rsidRPr="00E86F25" w:rsidRDefault="00E86F25" w:rsidP="00E86F25">
      <w:pPr>
        <w:rPr>
          <w:rFonts w:ascii="Arial" w:hAnsi="Arial" w:cs="Arial"/>
          <w:b/>
          <w:sz w:val="28"/>
        </w:rPr>
      </w:pPr>
      <w:r w:rsidRPr="00E86F25">
        <w:rPr>
          <w:rFonts w:ascii="Arial" w:hAnsi="Arial" w:cs="Arial"/>
          <w:b/>
          <w:sz w:val="28"/>
        </w:rPr>
        <w:t>SE</w:t>
      </w:r>
      <w:r>
        <w:rPr>
          <w:rFonts w:ascii="Arial" w:hAnsi="Arial" w:cs="Arial"/>
          <w:b/>
          <w:sz w:val="28"/>
        </w:rPr>
        <w:t xml:space="preserve"> ACUERDA</w:t>
      </w:r>
      <w:r w:rsidRPr="00E86F25">
        <w:rPr>
          <w:rFonts w:ascii="Arial" w:hAnsi="Arial" w:cs="Arial"/>
          <w:b/>
          <w:sz w:val="28"/>
        </w:rPr>
        <w:t>:</w:t>
      </w:r>
    </w:p>
    <w:p w:rsidR="00E86F25" w:rsidRPr="00E86F25" w:rsidRDefault="00E86F25" w:rsidP="00E86F25">
      <w:pPr>
        <w:rPr>
          <w:rFonts w:ascii="Arial" w:hAnsi="Arial" w:cs="Arial"/>
          <w:sz w:val="20"/>
          <w:szCs w:val="20"/>
        </w:rPr>
      </w:pPr>
    </w:p>
    <w:p w:rsidR="00E86F25" w:rsidRPr="00E86F25" w:rsidRDefault="00E86F25" w:rsidP="00E86F25">
      <w:pPr>
        <w:numPr>
          <w:ilvl w:val="0"/>
          <w:numId w:val="23"/>
        </w:numPr>
        <w:ind w:left="284"/>
        <w:contextualSpacing/>
        <w:jc w:val="both"/>
        <w:rPr>
          <w:rFonts w:ascii="Arial" w:eastAsia="Calibri" w:hAnsi="Arial" w:cs="Arial"/>
          <w:lang w:eastAsia="en-US"/>
        </w:rPr>
      </w:pPr>
      <w:r w:rsidRPr="00E86F25">
        <w:rPr>
          <w:rFonts w:ascii="Arial" w:eastAsia="Calibri" w:hAnsi="Arial" w:cs="Arial"/>
          <w:lang w:eastAsia="en-US"/>
        </w:rPr>
        <w:t xml:space="preserve">Modificar </w:t>
      </w:r>
      <w:r w:rsidRPr="00E86F25">
        <w:rPr>
          <w:rFonts w:ascii="Arial" w:eastAsia="Calibri" w:hAnsi="Arial" w:cs="Arial"/>
          <w:lang w:val="es-CR" w:eastAsia="en-US"/>
        </w:rPr>
        <w:t xml:space="preserve">el inciso b) del acuerdo de la Sesión Ordinaria No. 3047, Artículo 9, del 19 de noviembre de “Apertura del Programa de Licenciatura en Ingeniería en Electrónica en el Centro Académico Alajuela”, para corregir los códigos de las siguientes </w:t>
      </w:r>
      <w:r w:rsidRPr="00E86F25">
        <w:rPr>
          <w:rFonts w:ascii="Arial" w:eastAsia="Calibri" w:hAnsi="Arial" w:cs="Arial"/>
          <w:lang w:eastAsia="en-US"/>
        </w:rPr>
        <w:t>plazas:</w:t>
      </w:r>
    </w:p>
    <w:p w:rsidR="00E86F25" w:rsidRPr="00E86F25" w:rsidRDefault="00E86F25" w:rsidP="00E86F25">
      <w:pPr>
        <w:spacing w:after="200" w:line="276" w:lineRule="auto"/>
        <w:ind w:left="708" w:right="-91"/>
        <w:jc w:val="both"/>
        <w:rPr>
          <w:rFonts w:ascii="ArialMT" w:eastAsia="Calibri" w:hAnsi="ArialMT" w:cs="ArialMT"/>
          <w:sz w:val="22"/>
          <w:szCs w:val="22"/>
          <w:lang w:eastAsia="en-US"/>
        </w:rPr>
      </w:pPr>
    </w:p>
    <w:tbl>
      <w:tblPr>
        <w:tblW w:w="2851" w:type="pct"/>
        <w:jc w:val="center"/>
        <w:tblCellMar>
          <w:left w:w="0" w:type="dxa"/>
          <w:right w:w="0" w:type="dxa"/>
        </w:tblCellMar>
        <w:tblLook w:val="04A0" w:firstRow="1" w:lastRow="0" w:firstColumn="1" w:lastColumn="0" w:noHBand="0" w:noVBand="1"/>
      </w:tblPr>
      <w:tblGrid>
        <w:gridCol w:w="420"/>
        <w:gridCol w:w="996"/>
        <w:gridCol w:w="1872"/>
        <w:gridCol w:w="1872"/>
      </w:tblGrid>
      <w:tr w:rsidR="00E86F25" w:rsidRPr="00E86F25" w:rsidTr="00532B7D">
        <w:trPr>
          <w:trHeight w:val="1201"/>
          <w:jc w:val="center"/>
        </w:trPr>
        <w:tc>
          <w:tcPr>
            <w:tcW w:w="406" w:type="pct"/>
            <w:tcBorders>
              <w:top w:val="single" w:sz="8" w:space="0" w:color="auto"/>
              <w:left w:val="single" w:sz="8" w:space="0" w:color="auto"/>
              <w:bottom w:val="single" w:sz="8" w:space="0" w:color="auto"/>
              <w:right w:val="single" w:sz="8" w:space="0" w:color="auto"/>
            </w:tcBorders>
            <w:shd w:val="clear" w:color="auto" w:fill="8496B0"/>
            <w:tcMar>
              <w:top w:w="0" w:type="dxa"/>
              <w:left w:w="70" w:type="dxa"/>
              <w:bottom w:w="0" w:type="dxa"/>
              <w:right w:w="70" w:type="dxa"/>
            </w:tcMar>
            <w:vAlign w:val="center"/>
            <w:hideMark/>
          </w:tcPr>
          <w:p w:rsidR="00E86F25" w:rsidRPr="00E86F25" w:rsidRDefault="00E86F25" w:rsidP="00E86F25">
            <w:pPr>
              <w:jc w:val="center"/>
              <w:rPr>
                <w:rFonts w:ascii="Arial" w:hAnsi="Arial" w:cs="Arial"/>
                <w:b/>
                <w:bCs/>
                <w:color w:val="000000"/>
                <w:sz w:val="16"/>
                <w:szCs w:val="16"/>
                <w:lang w:val="es-CR" w:eastAsia="es-CR"/>
              </w:rPr>
            </w:pPr>
            <w:r w:rsidRPr="00E86F25">
              <w:rPr>
                <w:rFonts w:ascii="Arial" w:hAnsi="Arial" w:cs="Arial"/>
                <w:b/>
                <w:bCs/>
                <w:color w:val="000000"/>
                <w:sz w:val="16"/>
                <w:szCs w:val="16"/>
                <w:lang w:val="es-CR" w:eastAsia="es-CR"/>
              </w:rPr>
              <w:t>#</w:t>
            </w:r>
          </w:p>
        </w:tc>
        <w:tc>
          <w:tcPr>
            <w:tcW w:w="965" w:type="pct"/>
            <w:tcBorders>
              <w:top w:val="single" w:sz="8" w:space="0" w:color="auto"/>
              <w:left w:val="nil"/>
              <w:bottom w:val="single" w:sz="8" w:space="0" w:color="auto"/>
              <w:right w:val="single" w:sz="8" w:space="0" w:color="auto"/>
            </w:tcBorders>
            <w:shd w:val="clear" w:color="auto" w:fill="8496B0"/>
            <w:tcMar>
              <w:top w:w="0" w:type="dxa"/>
              <w:left w:w="70" w:type="dxa"/>
              <w:bottom w:w="0" w:type="dxa"/>
              <w:right w:w="70" w:type="dxa"/>
            </w:tcMar>
            <w:textDirection w:val="btLr"/>
            <w:vAlign w:val="center"/>
            <w:hideMark/>
          </w:tcPr>
          <w:p w:rsidR="00E86F25" w:rsidRPr="00E86F25" w:rsidRDefault="00E86F25" w:rsidP="00E86F25">
            <w:pPr>
              <w:jc w:val="center"/>
              <w:rPr>
                <w:rFonts w:ascii="Arial" w:hAnsi="Arial" w:cs="Arial"/>
                <w:b/>
                <w:bCs/>
                <w:color w:val="000000"/>
                <w:sz w:val="16"/>
                <w:szCs w:val="16"/>
                <w:lang w:val="es-CR" w:eastAsia="es-CR"/>
              </w:rPr>
            </w:pPr>
            <w:r w:rsidRPr="00E86F25">
              <w:rPr>
                <w:rFonts w:ascii="Arial" w:hAnsi="Arial" w:cs="Arial"/>
                <w:b/>
                <w:bCs/>
                <w:color w:val="000000"/>
                <w:sz w:val="16"/>
                <w:szCs w:val="16"/>
                <w:lang w:val="es-CR" w:eastAsia="es-CR"/>
              </w:rPr>
              <w:t>Programa</w:t>
            </w:r>
          </w:p>
        </w:tc>
        <w:tc>
          <w:tcPr>
            <w:tcW w:w="1814" w:type="pct"/>
            <w:tcBorders>
              <w:top w:val="single" w:sz="8" w:space="0" w:color="auto"/>
              <w:left w:val="nil"/>
              <w:bottom w:val="single" w:sz="8" w:space="0" w:color="auto"/>
              <w:right w:val="nil"/>
            </w:tcBorders>
            <w:shd w:val="clear" w:color="auto" w:fill="8496B0"/>
            <w:vAlign w:val="center"/>
          </w:tcPr>
          <w:p w:rsidR="00E86F25" w:rsidRPr="00E86F25" w:rsidRDefault="00E86F25" w:rsidP="00E86F25">
            <w:pPr>
              <w:jc w:val="center"/>
              <w:rPr>
                <w:rFonts w:ascii="Arial" w:hAnsi="Arial" w:cs="Arial"/>
                <w:b/>
                <w:bCs/>
                <w:color w:val="000000"/>
                <w:sz w:val="16"/>
                <w:szCs w:val="16"/>
                <w:lang w:val="es-CR" w:eastAsia="es-CR"/>
              </w:rPr>
            </w:pPr>
            <w:r w:rsidRPr="00E86F25">
              <w:rPr>
                <w:rFonts w:ascii="Arial" w:hAnsi="Arial" w:cs="Arial"/>
                <w:b/>
                <w:bCs/>
                <w:color w:val="000000"/>
                <w:sz w:val="16"/>
                <w:szCs w:val="16"/>
                <w:lang w:val="es-CR" w:eastAsia="es-CR"/>
              </w:rPr>
              <w:t>Código de plaza</w:t>
            </w:r>
          </w:p>
          <w:p w:rsidR="00E86F25" w:rsidRPr="00E86F25" w:rsidRDefault="00E86F25" w:rsidP="00E86F25">
            <w:pPr>
              <w:jc w:val="center"/>
              <w:rPr>
                <w:rFonts w:ascii="Arial" w:hAnsi="Arial" w:cs="Arial"/>
                <w:b/>
                <w:bCs/>
                <w:color w:val="000000"/>
                <w:sz w:val="16"/>
                <w:szCs w:val="16"/>
                <w:lang w:val="es-CR" w:eastAsia="es-CR"/>
              </w:rPr>
            </w:pPr>
            <w:r w:rsidRPr="00E86F25">
              <w:rPr>
                <w:rFonts w:ascii="Arial" w:hAnsi="Arial" w:cs="Arial"/>
                <w:b/>
                <w:bCs/>
                <w:color w:val="000000"/>
                <w:sz w:val="16"/>
                <w:szCs w:val="16"/>
                <w:lang w:val="es-CR" w:eastAsia="es-CR"/>
              </w:rPr>
              <w:t>Anterior</w:t>
            </w:r>
          </w:p>
        </w:tc>
        <w:tc>
          <w:tcPr>
            <w:tcW w:w="1814" w:type="pct"/>
            <w:tcBorders>
              <w:top w:val="single" w:sz="8" w:space="0" w:color="auto"/>
              <w:left w:val="nil"/>
              <w:bottom w:val="single" w:sz="8" w:space="0" w:color="auto"/>
              <w:right w:val="single" w:sz="8" w:space="0" w:color="auto"/>
            </w:tcBorders>
            <w:shd w:val="clear" w:color="auto" w:fill="8496B0"/>
            <w:tcMar>
              <w:top w:w="0" w:type="dxa"/>
              <w:left w:w="70" w:type="dxa"/>
              <w:bottom w:w="0" w:type="dxa"/>
              <w:right w:w="70" w:type="dxa"/>
            </w:tcMar>
            <w:vAlign w:val="center"/>
            <w:hideMark/>
          </w:tcPr>
          <w:p w:rsidR="00E86F25" w:rsidRPr="00E86F25" w:rsidRDefault="00E86F25" w:rsidP="00E86F25">
            <w:pPr>
              <w:jc w:val="center"/>
              <w:rPr>
                <w:rFonts w:ascii="Arial" w:hAnsi="Arial" w:cs="Arial"/>
                <w:b/>
                <w:bCs/>
                <w:color w:val="000000"/>
                <w:sz w:val="16"/>
                <w:szCs w:val="16"/>
                <w:lang w:val="es-CR" w:eastAsia="es-CR"/>
              </w:rPr>
            </w:pPr>
            <w:r w:rsidRPr="00E86F25">
              <w:rPr>
                <w:rFonts w:ascii="Arial" w:hAnsi="Arial" w:cs="Arial"/>
                <w:b/>
                <w:bCs/>
                <w:color w:val="000000"/>
                <w:sz w:val="16"/>
                <w:szCs w:val="16"/>
                <w:lang w:val="es-CR" w:eastAsia="es-CR"/>
              </w:rPr>
              <w:t>Nuevo código de plaza</w:t>
            </w:r>
          </w:p>
        </w:tc>
      </w:tr>
      <w:tr w:rsidR="00E86F25" w:rsidRPr="00E86F25" w:rsidTr="00532B7D">
        <w:trPr>
          <w:trHeight w:val="412"/>
          <w:jc w:val="center"/>
        </w:trPr>
        <w:tc>
          <w:tcPr>
            <w:tcW w:w="406"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1</w:t>
            </w:r>
          </w:p>
        </w:tc>
        <w:tc>
          <w:tcPr>
            <w:tcW w:w="9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auto"/>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FSLA024</w:t>
            </w:r>
          </w:p>
        </w:tc>
        <w:tc>
          <w:tcPr>
            <w:tcW w:w="18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FSAL024</w:t>
            </w:r>
          </w:p>
        </w:tc>
      </w:tr>
      <w:tr w:rsidR="00E86F25" w:rsidRPr="00E86F25" w:rsidTr="00532B7D">
        <w:trPr>
          <w:trHeight w:val="412"/>
          <w:jc w:val="center"/>
        </w:trPr>
        <w:tc>
          <w:tcPr>
            <w:tcW w:w="406" w:type="pc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965" w:type="pc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000000"/>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FSLA025</w:t>
            </w:r>
          </w:p>
        </w:tc>
        <w:tc>
          <w:tcPr>
            <w:tcW w:w="1814" w:type="pct"/>
            <w:tcBorders>
              <w:top w:val="nil"/>
              <w:left w:val="nil"/>
              <w:bottom w:val="single" w:sz="8" w:space="0" w:color="000000"/>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FSAL025</w:t>
            </w:r>
          </w:p>
        </w:tc>
      </w:tr>
      <w:tr w:rsidR="00E86F25" w:rsidRPr="00E86F25" w:rsidTr="00532B7D">
        <w:trPr>
          <w:trHeight w:val="412"/>
          <w:jc w:val="center"/>
        </w:trPr>
        <w:tc>
          <w:tcPr>
            <w:tcW w:w="40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3</w:t>
            </w:r>
          </w:p>
        </w:tc>
        <w:tc>
          <w:tcPr>
            <w:tcW w:w="9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auto"/>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FSLA026</w:t>
            </w:r>
          </w:p>
        </w:tc>
        <w:tc>
          <w:tcPr>
            <w:tcW w:w="18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FSAL026</w:t>
            </w:r>
          </w:p>
        </w:tc>
      </w:tr>
      <w:tr w:rsidR="00E86F25" w:rsidRPr="00E86F25" w:rsidTr="00532B7D">
        <w:trPr>
          <w:trHeight w:val="412"/>
          <w:jc w:val="center"/>
        </w:trPr>
        <w:tc>
          <w:tcPr>
            <w:tcW w:w="40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4</w:t>
            </w:r>
          </w:p>
        </w:tc>
        <w:tc>
          <w:tcPr>
            <w:tcW w:w="9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auto"/>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FSLA027</w:t>
            </w:r>
          </w:p>
        </w:tc>
        <w:tc>
          <w:tcPr>
            <w:tcW w:w="18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FSAL027</w:t>
            </w:r>
          </w:p>
        </w:tc>
      </w:tr>
      <w:tr w:rsidR="00E86F25" w:rsidRPr="00E86F25" w:rsidTr="00532B7D">
        <w:trPr>
          <w:trHeight w:val="412"/>
          <w:jc w:val="center"/>
        </w:trPr>
        <w:tc>
          <w:tcPr>
            <w:tcW w:w="40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5</w:t>
            </w:r>
          </w:p>
        </w:tc>
        <w:tc>
          <w:tcPr>
            <w:tcW w:w="9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auto"/>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FSLA028</w:t>
            </w:r>
          </w:p>
        </w:tc>
        <w:tc>
          <w:tcPr>
            <w:tcW w:w="18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FSAL028</w:t>
            </w:r>
          </w:p>
        </w:tc>
      </w:tr>
      <w:tr w:rsidR="00E86F25" w:rsidRPr="00E86F25" w:rsidTr="00532B7D">
        <w:trPr>
          <w:trHeight w:val="412"/>
          <w:jc w:val="center"/>
        </w:trPr>
        <w:tc>
          <w:tcPr>
            <w:tcW w:w="40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6</w:t>
            </w:r>
          </w:p>
        </w:tc>
        <w:tc>
          <w:tcPr>
            <w:tcW w:w="9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sz w:val="20"/>
                <w:szCs w:val="20"/>
                <w:lang w:val="es-CR" w:eastAsia="es-CR"/>
              </w:rPr>
            </w:pPr>
            <w:r w:rsidRPr="00E86F25">
              <w:rPr>
                <w:rFonts w:ascii="Calibri" w:eastAsia="Calibri" w:hAnsi="Calibri"/>
                <w:sz w:val="20"/>
                <w:szCs w:val="20"/>
                <w:lang w:val="es-CR" w:eastAsia="es-CR"/>
              </w:rPr>
              <w:t>2</w:t>
            </w:r>
          </w:p>
        </w:tc>
        <w:tc>
          <w:tcPr>
            <w:tcW w:w="1814" w:type="pct"/>
            <w:tcBorders>
              <w:top w:val="nil"/>
              <w:left w:val="nil"/>
              <w:bottom w:val="single" w:sz="8" w:space="0" w:color="auto"/>
              <w:right w:val="nil"/>
            </w:tcBorders>
            <w:vAlign w:val="center"/>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hAnsi="Calibri"/>
                <w:color w:val="000000"/>
                <w:sz w:val="20"/>
                <w:szCs w:val="20"/>
                <w:lang w:val="es-CR" w:eastAsia="es-CR"/>
              </w:rPr>
              <w:t>FSLA029</w:t>
            </w:r>
          </w:p>
        </w:tc>
        <w:tc>
          <w:tcPr>
            <w:tcW w:w="181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FSAL029</w:t>
            </w:r>
          </w:p>
        </w:tc>
      </w:tr>
      <w:tr w:rsidR="00E86F25" w:rsidRPr="00E86F25" w:rsidTr="00532B7D">
        <w:trPr>
          <w:trHeight w:val="205"/>
          <w:jc w:val="center"/>
        </w:trPr>
        <w:tc>
          <w:tcPr>
            <w:tcW w:w="406" w:type="pct"/>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 </w:t>
            </w:r>
          </w:p>
        </w:tc>
        <w:tc>
          <w:tcPr>
            <w:tcW w:w="965" w:type="pct"/>
            <w:shd w:val="clear" w:color="auto" w:fill="FFFFFF"/>
            <w:noWrap/>
            <w:tcMar>
              <w:top w:w="0" w:type="dxa"/>
              <w:left w:w="70" w:type="dxa"/>
              <w:bottom w:w="0" w:type="dxa"/>
              <w:right w:w="70" w:type="dxa"/>
            </w:tcMar>
            <w:vAlign w:val="center"/>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 </w:t>
            </w:r>
          </w:p>
        </w:tc>
        <w:tc>
          <w:tcPr>
            <w:tcW w:w="1814" w:type="pct"/>
            <w:shd w:val="clear" w:color="auto" w:fill="FFFFFF"/>
          </w:tcPr>
          <w:p w:rsidR="00E86F25" w:rsidRPr="00E86F25" w:rsidRDefault="00E86F25" w:rsidP="00E86F25">
            <w:pPr>
              <w:jc w:val="center"/>
              <w:rPr>
                <w:rFonts w:ascii="Calibri" w:eastAsia="Calibri" w:hAnsi="Calibri"/>
                <w:color w:val="000000"/>
                <w:sz w:val="20"/>
                <w:szCs w:val="20"/>
                <w:lang w:val="es-CR" w:eastAsia="es-CR"/>
              </w:rPr>
            </w:pPr>
          </w:p>
        </w:tc>
        <w:tc>
          <w:tcPr>
            <w:tcW w:w="1814" w:type="pct"/>
            <w:shd w:val="clear" w:color="auto" w:fill="FFFFFF"/>
            <w:noWrap/>
            <w:tcMar>
              <w:top w:w="0" w:type="dxa"/>
              <w:left w:w="70" w:type="dxa"/>
              <w:bottom w:w="0" w:type="dxa"/>
              <w:right w:w="70" w:type="dxa"/>
            </w:tcMar>
            <w:vAlign w:val="bottom"/>
            <w:hideMark/>
          </w:tcPr>
          <w:p w:rsidR="00E86F25" w:rsidRPr="00E86F25" w:rsidRDefault="00E86F25" w:rsidP="00E86F25">
            <w:pPr>
              <w:jc w:val="center"/>
              <w:rPr>
                <w:rFonts w:ascii="Calibri" w:eastAsia="Calibri" w:hAnsi="Calibri"/>
                <w:color w:val="000000"/>
                <w:sz w:val="20"/>
                <w:szCs w:val="20"/>
                <w:lang w:val="es-CR" w:eastAsia="es-CR"/>
              </w:rPr>
            </w:pPr>
            <w:r w:rsidRPr="00E86F25">
              <w:rPr>
                <w:rFonts w:ascii="Calibri" w:eastAsia="Calibri" w:hAnsi="Calibri"/>
                <w:color w:val="000000"/>
                <w:sz w:val="20"/>
                <w:szCs w:val="20"/>
                <w:lang w:val="es-CR" w:eastAsia="es-CR"/>
              </w:rPr>
              <w:t> </w:t>
            </w:r>
          </w:p>
        </w:tc>
      </w:tr>
    </w:tbl>
    <w:p w:rsidR="00E86F25" w:rsidRPr="00E86F25" w:rsidRDefault="00E86F25" w:rsidP="00E86F25">
      <w:pPr>
        <w:tabs>
          <w:tab w:val="left" w:pos="760"/>
        </w:tabs>
        <w:spacing w:line="276" w:lineRule="auto"/>
        <w:jc w:val="both"/>
        <w:rPr>
          <w:rFonts w:ascii="Arial" w:hAnsi="Arial" w:cs="Arial"/>
          <w:sz w:val="16"/>
          <w:szCs w:val="16"/>
        </w:rPr>
      </w:pPr>
    </w:p>
    <w:p w:rsidR="00563417" w:rsidRPr="0073629D" w:rsidRDefault="00563417" w:rsidP="0073629D">
      <w:pPr>
        <w:rPr>
          <w:rFonts w:ascii="Arial" w:hAnsi="Arial" w:cs="Arial"/>
          <w:sz w:val="18"/>
          <w:szCs w:val="18"/>
        </w:rPr>
      </w:pPr>
    </w:p>
    <w:p w:rsidR="00887FCC" w:rsidRDefault="002204D7" w:rsidP="00A65BB9">
      <w:pPr>
        <w:numPr>
          <w:ilvl w:val="0"/>
          <w:numId w:val="20"/>
        </w:numPr>
        <w:ind w:left="426"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3629D" w:rsidRDefault="0073629D" w:rsidP="0073629D">
      <w:pPr>
        <w:jc w:val="both"/>
        <w:rPr>
          <w:rFonts w:ascii="Arial" w:eastAsia="Calibri" w:hAnsi="Arial" w:cs="Arial"/>
          <w:b/>
          <w:sz w:val="22"/>
          <w:szCs w:val="22"/>
          <w:lang w:val="es-CR" w:eastAsia="en-US"/>
        </w:rPr>
      </w:pPr>
    </w:p>
    <w:p w:rsidR="00E86F25" w:rsidRPr="00E86F25" w:rsidRDefault="00E86F25" w:rsidP="00E86F25">
      <w:pPr>
        <w:tabs>
          <w:tab w:val="left" w:pos="760"/>
        </w:tabs>
        <w:spacing w:line="276" w:lineRule="auto"/>
        <w:jc w:val="both"/>
        <w:rPr>
          <w:rFonts w:ascii="Arial" w:hAnsi="Arial" w:cs="Arial"/>
        </w:rPr>
      </w:pPr>
      <w:r w:rsidRPr="00E86F25">
        <w:rPr>
          <w:rFonts w:ascii="Arial" w:hAnsi="Arial" w:cs="Arial"/>
          <w:b/>
          <w:sz w:val="22"/>
          <w:szCs w:val="22"/>
        </w:rPr>
        <w:t>Palabras clave: Modificación – recodificación – plazas – S 3047 - FSAL</w:t>
      </w:r>
    </w:p>
    <w:p w:rsidR="00E86F25" w:rsidRPr="00E86F25" w:rsidRDefault="00E86F25" w:rsidP="00E86F25">
      <w:pPr>
        <w:tabs>
          <w:tab w:val="left" w:pos="760"/>
        </w:tabs>
        <w:spacing w:line="276" w:lineRule="auto"/>
        <w:jc w:val="both"/>
        <w:rPr>
          <w:rFonts w:ascii="Arial" w:hAnsi="Arial" w:cs="Arial"/>
          <w:sz w:val="16"/>
          <w:szCs w:val="16"/>
        </w:rPr>
      </w:pPr>
    </w:p>
    <w:p w:rsidR="00E86F25" w:rsidRPr="00E86F25" w:rsidRDefault="00E86F25" w:rsidP="00E86F25">
      <w:pPr>
        <w:tabs>
          <w:tab w:val="left" w:pos="760"/>
        </w:tabs>
        <w:spacing w:line="276" w:lineRule="auto"/>
        <w:jc w:val="both"/>
        <w:rPr>
          <w:rFonts w:ascii="Arial" w:hAnsi="Arial" w:cs="Arial"/>
          <w:sz w:val="16"/>
          <w:szCs w:val="16"/>
        </w:rPr>
      </w:pPr>
    </w:p>
    <w:p w:rsidR="001A214B" w:rsidRPr="00E86F25" w:rsidRDefault="001A214B" w:rsidP="00672D32">
      <w:pPr>
        <w:jc w:val="both"/>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E86F25" w:rsidRPr="00474B22" w:rsidTr="004411B2">
        <w:trPr>
          <w:gridAfter w:val="1"/>
          <w:wAfter w:w="4361" w:type="dxa"/>
          <w:trHeight w:val="183"/>
        </w:trPr>
        <w:tc>
          <w:tcPr>
            <w:tcW w:w="4361" w:type="dxa"/>
          </w:tcPr>
          <w:p w:rsidR="00E86F25" w:rsidRDefault="00E86F25" w:rsidP="00E86F25">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w:t>
            </w:r>
            <w:r w:rsidR="001C5B1C">
              <w:rPr>
                <w:rFonts w:ascii="Arial" w:eastAsia="Cambria" w:hAnsi="Arial" w:cs="Arial"/>
                <w:b/>
                <w:sz w:val="16"/>
                <w:szCs w:val="16"/>
                <w:lang w:val="es-ES_tradnl" w:eastAsia="en-US"/>
              </w:rPr>
              <w:t>s</w:t>
            </w:r>
            <w:bookmarkStart w:id="0" w:name="_GoBack"/>
            <w:bookmarkEnd w:id="0"/>
            <w:r>
              <w:rPr>
                <w:rFonts w:ascii="Arial" w:eastAsia="Cambria" w:hAnsi="Arial" w:cs="Arial"/>
                <w:b/>
                <w:sz w:val="16"/>
                <w:szCs w:val="16"/>
                <w:lang w:val="es-ES_tradnl" w:eastAsia="en-US"/>
              </w:rPr>
              <w:t>tración</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86F25" w:rsidRDefault="00E86F25" w:rsidP="00E86F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86F25" w:rsidRPr="00474B22" w:rsidRDefault="00E86F25" w:rsidP="00A72923">
            <w:pPr>
              <w:ind w:left="-567" w:firstLine="567"/>
              <w:jc w:val="both"/>
              <w:rPr>
                <w:rFonts w:ascii="Arial" w:eastAsia="Cambria" w:hAnsi="Arial" w:cs="Arial"/>
                <w:b/>
                <w:sz w:val="16"/>
                <w:szCs w:val="16"/>
                <w:lang w:val="es-ES_tradnl" w:eastAsia="en-US"/>
              </w:rPr>
            </w:pPr>
          </w:p>
        </w:tc>
        <w:tc>
          <w:tcPr>
            <w:tcW w:w="4361" w:type="dxa"/>
          </w:tcPr>
          <w:p w:rsidR="00E86F25" w:rsidRPr="00474B22" w:rsidRDefault="00E86F25" w:rsidP="00E86F25">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Pr>
                <w:rFonts w:ascii="Arial" w:eastAsia="Cambria" w:hAnsi="Arial" w:cs="Arial"/>
                <w:b/>
                <w:sz w:val="16"/>
                <w:szCs w:val="16"/>
                <w:lang w:val="es-ES_tradnl" w:eastAsia="en-US"/>
              </w:rPr>
              <w:t xml:space="preserve"> </w:t>
            </w:r>
          </w:p>
          <w:p w:rsidR="00E86F25" w:rsidRPr="00474B22" w:rsidRDefault="00E86F25" w:rsidP="00E86F25">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E86F25" w:rsidRPr="00474B22" w:rsidRDefault="00E86F25" w:rsidP="00E86F25">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Pr>
                <w:rFonts w:ascii="Arial" w:eastAsia="Cambria" w:hAnsi="Arial" w:cs="Arial"/>
                <w:b/>
                <w:sz w:val="16"/>
                <w:szCs w:val="16"/>
                <w:lang w:val="es-ES_tradnl" w:eastAsia="en-US"/>
              </w:rPr>
              <w:t xml:space="preserve"> </w:t>
            </w:r>
          </w:p>
          <w:p w:rsidR="00E86F25" w:rsidRPr="00474B22" w:rsidRDefault="00E86F25" w:rsidP="00E86F25">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E86F25" w:rsidRPr="00474B22" w:rsidRDefault="00E86F25" w:rsidP="00E86F25">
            <w:pPr>
              <w:ind w:left="-567" w:firstLine="567"/>
              <w:jc w:val="both"/>
              <w:rPr>
                <w:rFonts w:ascii="Arial" w:eastAsia="Cambria" w:hAnsi="Arial" w:cs="Arial"/>
                <w:b/>
                <w:sz w:val="16"/>
                <w:szCs w:val="16"/>
                <w:lang w:val="es-CR" w:eastAsia="en-US"/>
              </w:rPr>
            </w:pPr>
          </w:p>
        </w:tc>
        <w:tc>
          <w:tcPr>
            <w:tcW w:w="4361" w:type="dxa"/>
          </w:tcPr>
          <w:p w:rsidR="00E86F25" w:rsidRPr="00474B22" w:rsidRDefault="00E86F25" w:rsidP="00E86F25">
            <w:pPr>
              <w:jc w:val="both"/>
              <w:rPr>
                <w:rFonts w:ascii="Arial" w:eastAsia="Cambria" w:hAnsi="Arial" w:cs="Arial"/>
                <w:b/>
                <w:sz w:val="16"/>
                <w:szCs w:val="16"/>
                <w:lang w:val="es-ES_tradnl" w:eastAsia="en-US"/>
              </w:rPr>
            </w:pPr>
          </w:p>
        </w:tc>
        <w:tc>
          <w:tcPr>
            <w:tcW w:w="5103" w:type="dxa"/>
            <w:gridSpan w:val="2"/>
          </w:tcPr>
          <w:p w:rsidR="00E86F25" w:rsidRPr="00474B22" w:rsidRDefault="00E86F25" w:rsidP="00E86F25">
            <w:pPr>
              <w:jc w:val="both"/>
              <w:rPr>
                <w:rFonts w:ascii="Arial" w:eastAsia="Cambria" w:hAnsi="Arial" w:cs="Arial"/>
                <w:b/>
                <w:sz w:val="16"/>
                <w:szCs w:val="16"/>
                <w:lang w:val="es-ES_tradnl" w:eastAsia="en-US"/>
              </w:rPr>
            </w:pPr>
          </w:p>
        </w:tc>
      </w:tr>
    </w:tbl>
    <w:p w:rsidR="00E00132" w:rsidRPr="00A65BB9" w:rsidRDefault="00A65BB9" w:rsidP="00E86F25">
      <w:pPr>
        <w:jc w:val="both"/>
        <w:rPr>
          <w:rFonts w:ascii="Arial" w:eastAsia="Cambria" w:hAnsi="Arial" w:cs="Arial"/>
          <w:b/>
          <w:lang w:val="es-ES_tradnl" w:eastAsia="en-US"/>
        </w:rPr>
      </w:pPr>
      <w:r>
        <w:rPr>
          <w:rFonts w:ascii="Arial" w:eastAsia="Cambria" w:hAnsi="Arial" w:cs="Arial"/>
          <w:b/>
          <w:sz w:val="16"/>
          <w:szCs w:val="16"/>
          <w:lang w:val="es-ES_tradnl" w:eastAsia="en-US"/>
        </w:rPr>
        <w:t xml:space="preserve">  </w:t>
      </w: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75" w:rsidRDefault="007E0775">
      <w:r>
        <w:separator/>
      </w:r>
    </w:p>
  </w:endnote>
  <w:endnote w:type="continuationSeparator" w:id="0">
    <w:p w:rsidR="007E0775" w:rsidRDefault="007E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75" w:rsidRDefault="007E0775">
      <w:r>
        <w:separator/>
      </w:r>
    </w:p>
  </w:footnote>
  <w:footnote w:type="continuationSeparator" w:id="0">
    <w:p w:rsidR="007E0775" w:rsidRDefault="007E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075690">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075690">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75690">
      <w:rPr>
        <w:rFonts w:ascii="Arial" w:eastAsia="Cambria" w:hAnsi="Arial" w:cs="Arial"/>
        <w:i/>
        <w:sz w:val="18"/>
        <w:szCs w:val="18"/>
        <w:lang w:val="es-ES_tradnl" w:eastAsia="x-none"/>
      </w:rPr>
      <w:t>14</w:t>
    </w:r>
    <w:r w:rsidR="0020478D">
      <w:rPr>
        <w:rFonts w:ascii="Arial" w:eastAsia="Cambria" w:hAnsi="Arial" w:cs="Arial"/>
        <w:i/>
        <w:sz w:val="18"/>
        <w:szCs w:val="18"/>
        <w:lang w:val="es-ES_tradnl" w:eastAsia="x-none"/>
      </w:rPr>
      <w:t xml:space="preserve"> de febrero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C5B1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BF256C"/>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2A1360BF"/>
    <w:multiLevelType w:val="hybridMultilevel"/>
    <w:tmpl w:val="7FE2A9C8"/>
    <w:lvl w:ilvl="0" w:tplc="D5E8B5B4">
      <w:start w:val="44"/>
      <w:numFmt w:val="upperLetter"/>
      <w:pStyle w:val="Subttulo"/>
      <w:lvlText w:val="%1-"/>
      <w:lvlJc w:val="left"/>
      <w:pPr>
        <w:tabs>
          <w:tab w:val="num" w:pos="1563"/>
        </w:tabs>
        <w:ind w:left="1563" w:hanging="57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882E51"/>
    <w:multiLevelType w:val="hybridMultilevel"/>
    <w:tmpl w:val="507AD8B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5537EB8"/>
    <w:multiLevelType w:val="hybridMultilevel"/>
    <w:tmpl w:val="552A8036"/>
    <w:lvl w:ilvl="0" w:tplc="3022147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9"/>
  </w:num>
  <w:num w:numId="8">
    <w:abstractNumId w:val="12"/>
  </w:num>
  <w:num w:numId="9">
    <w:abstractNumId w:val="23"/>
  </w:num>
  <w:num w:numId="10">
    <w:abstractNumId w:val="4"/>
  </w:num>
  <w:num w:numId="11">
    <w:abstractNumId w:val="14"/>
  </w:num>
  <w:num w:numId="12">
    <w:abstractNumId w:val="11"/>
  </w:num>
  <w:num w:numId="13">
    <w:abstractNumId w:val="15"/>
  </w:num>
  <w:num w:numId="14">
    <w:abstractNumId w:val="6"/>
  </w:num>
  <w:num w:numId="15">
    <w:abstractNumId w:val="22"/>
  </w:num>
  <w:num w:numId="16">
    <w:abstractNumId w:val="0"/>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6"/>
  </w:num>
  <w:num w:numId="22">
    <w:abstractNumId w:val="5"/>
  </w:num>
  <w:num w:numId="23">
    <w:abstractNumId w:val="10"/>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5690"/>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C5B1C"/>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78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849"/>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73C"/>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9CA"/>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259"/>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775"/>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5BB9"/>
    <w:rsid w:val="00A666DE"/>
    <w:rsid w:val="00A702FC"/>
    <w:rsid w:val="00A70CFC"/>
    <w:rsid w:val="00A71CCB"/>
    <w:rsid w:val="00A72923"/>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86F25"/>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2BAC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E86F25"/>
    <w:pPr>
      <w:numPr>
        <w:numId w:val="22"/>
      </w:numPr>
      <w:jc w:val="center"/>
    </w:pPr>
    <w:rPr>
      <w:b/>
      <w:bCs/>
      <w:color w:val="003300"/>
      <w:sz w:val="32"/>
    </w:rPr>
  </w:style>
  <w:style w:type="character" w:customStyle="1" w:styleId="SubttuloCar">
    <w:name w:val="Subtítulo Car"/>
    <w:basedOn w:val="Fuentedeprrafopredeter"/>
    <w:link w:val="Subttulo"/>
    <w:rsid w:val="00E86F25"/>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0A52-A8CA-437B-A552-E542258C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cp:revision>
  <cp:lastPrinted>2018-02-14T21:45:00Z</cp:lastPrinted>
  <dcterms:created xsi:type="dcterms:W3CDTF">2018-01-31T17:57:00Z</dcterms:created>
  <dcterms:modified xsi:type="dcterms:W3CDTF">2018-02-14T21:46:00Z</dcterms:modified>
</cp:coreProperties>
</file>