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bookmarkStart w:id="0" w:name="_GoBack"/>
      <w:bookmarkEnd w:id="0"/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2E2560">
        <w:rPr>
          <w:rFonts w:ascii="Arial" w:hAnsi="Arial" w:cs="Arial"/>
          <w:b/>
          <w:bCs/>
          <w:iCs/>
          <w:sz w:val="26"/>
          <w:szCs w:val="22"/>
          <w:lang w:val="es-CR"/>
        </w:rPr>
        <w:t>079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D958BC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19001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</w:p>
          <w:p w:rsidR="002E2560" w:rsidRPr="005A43BC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Villalta, Vicerrector de Administración</w:t>
            </w:r>
          </w:p>
          <w:p w:rsidR="002E2560" w:rsidRPr="005A43BC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2E2560" w:rsidRPr="005A43BC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Paola Vega, Vicerrectora de Investigación y Extensión </w:t>
            </w:r>
          </w:p>
          <w:p w:rsidR="002E2560" w:rsidRPr="005A43BC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Madrizova, Vicerrectora de Vida Estudiantil y Servicios Académicos </w:t>
            </w:r>
          </w:p>
          <w:p w:rsidR="002E2560" w:rsidRPr="005A43BC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Edgardo Vargas, Director Sede Regional San Carlos</w:t>
            </w:r>
          </w:p>
          <w:p w:rsidR="002E2560" w:rsidRPr="005A43BC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Bonilla, Director a.i. Centro Académico de San José</w:t>
            </w:r>
          </w:p>
          <w:p w:rsidR="002E2560" w:rsidRPr="005A43BC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Pereira, Director Centro Académico de Alajuela</w:t>
            </w:r>
          </w:p>
          <w:p w:rsidR="002E2560" w:rsidRPr="005A43BC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Centro Académico de Limón</w:t>
            </w:r>
          </w:p>
          <w:p w:rsidR="002E2560" w:rsidRDefault="002E2560" w:rsidP="002E256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Fernández 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Directora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Oficina de Planificación Institucional </w:t>
            </w:r>
          </w:p>
          <w:p w:rsidR="00302A99" w:rsidRPr="00302A99" w:rsidRDefault="00302A99" w:rsidP="00387ECD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267FAF" w:rsidRDefault="00387ECD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Ana Damaris Quesada Murillo</w:t>
            </w:r>
            <w:r w:rsidR="00841F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387ECD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07</w:t>
            </w:r>
            <w:r w:rsidR="00C001D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febrero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7F1052" w:rsidRDefault="007742A1" w:rsidP="002E2560">
            <w:pPr>
              <w:ind w:left="73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9C5A6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387ECD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63417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2E2560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302A9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387ECD">
              <w:rPr>
                <w:rFonts w:ascii="Arial" w:eastAsia="Calibri" w:hAnsi="Arial" w:cs="Arial"/>
                <w:b/>
                <w:sz w:val="22"/>
                <w:szCs w:val="22"/>
              </w:rPr>
              <w:t>07 de febrero</w:t>
            </w:r>
            <w:r w:rsidR="007A2D73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457DD8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FA3C4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387ECD">
              <w:rPr>
                <w:rFonts w:ascii="Arial" w:eastAsia="Calibri" w:hAnsi="Arial" w:cs="Arial"/>
                <w:b/>
                <w:sz w:val="22"/>
                <w:szCs w:val="22"/>
              </w:rPr>
              <w:t>Revisión del comportamiento de los egresos del ITCR, según Ejecución Presupuestaria 2017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302A99" w:rsidRDefault="00302A9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2E2560" w:rsidRDefault="002E2560" w:rsidP="002E2560">
      <w:pPr>
        <w:tabs>
          <w:tab w:val="left" w:pos="3070"/>
        </w:tabs>
        <w:spacing w:after="200" w:line="276" w:lineRule="auto"/>
        <w:contextualSpacing/>
        <w:jc w:val="both"/>
        <w:outlineLvl w:val="0"/>
        <w:rPr>
          <w:rFonts w:ascii="Arial" w:hAnsi="Arial" w:cs="Arial"/>
          <w:b/>
          <w:color w:val="323E4F"/>
          <w:lang w:eastAsia="en-US"/>
        </w:rPr>
      </w:pPr>
      <w:r w:rsidRPr="002E2560">
        <w:rPr>
          <w:rFonts w:ascii="Arial" w:hAnsi="Arial" w:cs="Arial"/>
          <w:b/>
          <w:color w:val="323E4F"/>
          <w:lang w:eastAsia="en-US"/>
        </w:rPr>
        <w:t>RESULTANDO QUE:</w:t>
      </w:r>
    </w:p>
    <w:p w:rsidR="002E2560" w:rsidRPr="002E2560" w:rsidRDefault="002E2560" w:rsidP="002E2560">
      <w:pPr>
        <w:tabs>
          <w:tab w:val="left" w:pos="3070"/>
        </w:tabs>
        <w:spacing w:after="200" w:line="276" w:lineRule="auto"/>
        <w:contextualSpacing/>
        <w:jc w:val="both"/>
        <w:outlineLvl w:val="0"/>
        <w:rPr>
          <w:rFonts w:ascii="Arial" w:hAnsi="Arial" w:cs="Arial"/>
          <w:b/>
          <w:color w:val="323E4F"/>
          <w:lang w:eastAsia="en-US"/>
        </w:rPr>
      </w:pPr>
    </w:p>
    <w:p w:rsidR="002E2560" w:rsidRPr="002E2560" w:rsidRDefault="002E2560" w:rsidP="002E2560">
      <w:pPr>
        <w:numPr>
          <w:ilvl w:val="0"/>
          <w:numId w:val="19"/>
        </w:numPr>
        <w:spacing w:after="200" w:line="276" w:lineRule="auto"/>
        <w:ind w:left="360"/>
        <w:jc w:val="both"/>
        <w:rPr>
          <w:rFonts w:ascii="Arial" w:hAnsi="Arial" w:cs="Arial"/>
          <w:lang w:val="es-CR"/>
        </w:rPr>
      </w:pPr>
      <w:r w:rsidRPr="002E2560">
        <w:rPr>
          <w:rFonts w:ascii="Arial" w:hAnsi="Arial" w:cs="Arial"/>
          <w:lang w:val="es-CR"/>
        </w:rPr>
        <w:t>El inciso b) del Artículo 18, del Estatuto Orgánico, establece:</w:t>
      </w:r>
    </w:p>
    <w:p w:rsidR="002E2560" w:rsidRPr="002E2560" w:rsidRDefault="002E2560" w:rsidP="002E2560">
      <w:pPr>
        <w:spacing w:after="200" w:line="276" w:lineRule="auto"/>
        <w:ind w:left="709" w:right="284"/>
        <w:contextualSpacing/>
        <w:jc w:val="both"/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</w:pPr>
    </w:p>
    <w:p w:rsidR="002E2560" w:rsidRPr="002E2560" w:rsidRDefault="002E2560" w:rsidP="002E2560">
      <w:pPr>
        <w:spacing w:after="100"/>
        <w:ind w:left="709" w:right="284"/>
        <w:contextualSpacing/>
        <w:jc w:val="both"/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</w:pPr>
      <w:r w:rsidRPr="002E2560"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  <w:t>“Son funciones del Consejo Institucional:</w:t>
      </w:r>
    </w:p>
    <w:p w:rsidR="002E2560" w:rsidRPr="002E2560" w:rsidRDefault="002E2560" w:rsidP="002E2560">
      <w:pPr>
        <w:spacing w:after="100"/>
        <w:ind w:left="810" w:right="992"/>
        <w:contextualSpacing/>
        <w:jc w:val="both"/>
        <w:rPr>
          <w:rFonts w:ascii="Arial" w:hAnsi="Arial" w:cs="Arial"/>
          <w:bCs/>
          <w:i/>
          <w:color w:val="323E4F"/>
          <w:sz w:val="22"/>
          <w:szCs w:val="22"/>
          <w:lang w:eastAsia="en-US"/>
        </w:rPr>
      </w:pPr>
      <w:r w:rsidRPr="002E2560">
        <w:rPr>
          <w:rFonts w:ascii="Arial" w:hAnsi="Arial" w:cs="Arial"/>
          <w:bCs/>
          <w:i/>
          <w:color w:val="323E4F"/>
          <w:sz w:val="22"/>
          <w:szCs w:val="22"/>
          <w:lang w:eastAsia="en-US"/>
        </w:rPr>
        <w:t>…</w:t>
      </w:r>
    </w:p>
    <w:p w:rsidR="002E2560" w:rsidRDefault="002E2560" w:rsidP="002E2560">
      <w:pPr>
        <w:spacing w:after="100"/>
        <w:ind w:left="993" w:right="992" w:hanging="273"/>
        <w:contextualSpacing/>
        <w:jc w:val="both"/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</w:pPr>
      <w:r w:rsidRPr="002E2560"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  <w:t>b. Aprobar el Plan estratégico institucional y los Planes anuales operativos, el presupuesto del Instituto, y los indicadores de gestión, de acuerdo con lo establecido en el Estatuto Orgánico y en la reglamentación respectiva.</w:t>
      </w:r>
    </w:p>
    <w:p w:rsidR="002E2560" w:rsidRPr="002E2560" w:rsidRDefault="002E2560" w:rsidP="002E2560">
      <w:pPr>
        <w:spacing w:after="100"/>
        <w:ind w:left="993" w:right="992" w:hanging="273"/>
        <w:contextualSpacing/>
        <w:jc w:val="both"/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</w:pPr>
    </w:p>
    <w:p w:rsidR="002E2560" w:rsidRPr="002E2560" w:rsidRDefault="002E2560" w:rsidP="002E2560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s-CR"/>
        </w:rPr>
      </w:pPr>
      <w:r w:rsidRPr="002E2560">
        <w:rPr>
          <w:rFonts w:ascii="Arial" w:hAnsi="Arial" w:cs="Arial"/>
          <w:lang w:val="es-CR"/>
        </w:rPr>
        <w:t>La Secretaría del Consejo Institucional recibe oficio R-012-2018, con fecha de recibido 16 de enero de 2018, suscrito por el Dr.  Julio C.  Calvo Alvarado, Rector, dirigido al Consejo Institucional, con copia a la MSc. Ana Rosa Ruiz Fernández, Coordinadora de la Comisión de Planificación y Administración, en el cual remite Informe de Ejecución Presupuestaria al 31 de diciembre de 2017, conocido y avalado por el Consejo de Rectoría, en la Sesión No. 01-2018, del 15 de enero del 2018.</w:t>
      </w:r>
    </w:p>
    <w:p w:rsidR="002E2560" w:rsidRPr="002E2560" w:rsidRDefault="002E2560" w:rsidP="002E2560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2E2560" w:rsidRDefault="002E2560" w:rsidP="002E2560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color w:val="323E4F"/>
          <w:lang w:eastAsia="en-US"/>
        </w:rPr>
      </w:pPr>
      <w:r w:rsidRPr="002E2560">
        <w:rPr>
          <w:rFonts w:ascii="Arial" w:hAnsi="Arial" w:cs="Arial"/>
          <w:b/>
          <w:color w:val="323E4F"/>
          <w:lang w:eastAsia="en-US"/>
        </w:rPr>
        <w:t>CONSIDERANDO QUE:</w:t>
      </w:r>
    </w:p>
    <w:p w:rsidR="002E2560" w:rsidRPr="002E2560" w:rsidRDefault="002E2560" w:rsidP="002E2560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color w:val="323E4F"/>
          <w:lang w:eastAsia="en-US"/>
        </w:rPr>
      </w:pPr>
    </w:p>
    <w:p w:rsidR="002E2560" w:rsidRPr="002E2560" w:rsidRDefault="002E2560" w:rsidP="002E256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0"/>
          <w:szCs w:val="20"/>
          <w:lang w:val="es-CR"/>
        </w:rPr>
      </w:pPr>
      <w:r w:rsidRPr="002E2560">
        <w:rPr>
          <w:rFonts w:ascii="Arial" w:hAnsi="Arial" w:cs="Arial"/>
          <w:lang w:val="es-CR"/>
        </w:rPr>
        <w:t>La Comisión de Planificación y Administración en Sesión 752 del 18 de enero, realiza el siguiente análisis de los egresos:</w:t>
      </w:r>
    </w:p>
    <w:p w:rsidR="002E2560" w:rsidRPr="002E2560" w:rsidRDefault="002E2560" w:rsidP="002E2560">
      <w:pPr>
        <w:ind w:left="708"/>
        <w:rPr>
          <w:rFonts w:ascii="Arial" w:hAnsi="Arial" w:cs="Arial"/>
          <w:sz w:val="20"/>
          <w:szCs w:val="20"/>
          <w:lang w:val="es-CR"/>
        </w:rPr>
      </w:pPr>
    </w:p>
    <w:p w:rsidR="002E2560" w:rsidRPr="002E2560" w:rsidRDefault="002E2560" w:rsidP="002E2560">
      <w:pPr>
        <w:numPr>
          <w:ilvl w:val="0"/>
          <w:numId w:val="21"/>
        </w:numPr>
        <w:ind w:left="993"/>
        <w:jc w:val="both"/>
        <w:rPr>
          <w:rFonts w:ascii="Arial" w:hAnsi="Arial" w:cs="Arial"/>
          <w:bCs/>
          <w:szCs w:val="20"/>
          <w:lang w:val="es-ES_tradnl"/>
        </w:rPr>
      </w:pPr>
      <w:r w:rsidRPr="002E2560">
        <w:rPr>
          <w:rFonts w:ascii="Arial" w:hAnsi="Arial" w:cs="Arial"/>
          <w:bCs/>
          <w:szCs w:val="20"/>
          <w:lang w:val="es-ES_tradnl"/>
        </w:rPr>
        <w:lastRenderedPageBreak/>
        <w:t>En cuanto al comportamiento de la ejecución por programa, se puede observar en el siguiente cuadro, que el único programa que logra realizar una alta y muy buena ejecución es la Vicerrectoría de Vida Estudiantil y Servicios Académicos mientras los otros programas están por debajo del 90% en especial la Vicerrectoría de Investigación y Extensión.</w:t>
      </w:r>
    </w:p>
    <w:p w:rsidR="002E2560" w:rsidRPr="002E2560" w:rsidRDefault="002E2560" w:rsidP="002E2560">
      <w:pPr>
        <w:spacing w:after="200" w:line="276" w:lineRule="auto"/>
        <w:ind w:left="1267"/>
        <w:jc w:val="both"/>
        <w:rPr>
          <w:rFonts w:ascii="Arial" w:hAnsi="Arial" w:cs="Arial"/>
          <w:bCs/>
          <w:color w:val="323E4F"/>
          <w:szCs w:val="20"/>
          <w:lang w:val="es-ES_tradnl" w:eastAsia="en-US"/>
        </w:rPr>
      </w:pPr>
    </w:p>
    <w:tbl>
      <w:tblPr>
        <w:tblW w:w="8500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80"/>
        <w:gridCol w:w="1860"/>
        <w:gridCol w:w="1760"/>
        <w:gridCol w:w="1240"/>
      </w:tblGrid>
      <w:tr w:rsidR="002E2560" w:rsidRPr="002E2560" w:rsidTr="009A02A9">
        <w:trPr>
          <w:trHeight w:val="888"/>
        </w:trPr>
        <w:tc>
          <w:tcPr>
            <w:tcW w:w="18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TOTAL PRESUPUESTO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TOTAL GENERAL EGRESOS AL 31/12/2017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MONTO SUB-SOBRE EJECUTADO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% EJECUTADO</w:t>
            </w:r>
          </w:p>
        </w:tc>
      </w:tr>
      <w:tr w:rsidR="002E2560" w:rsidRPr="002E2560" w:rsidTr="009A02A9">
        <w:trPr>
          <w:trHeight w:val="300"/>
        </w:trPr>
        <w:tc>
          <w:tcPr>
            <w:tcW w:w="18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 xml:space="preserve">ADMINISTRACIÓN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24 717 958,35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19 884 643,30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4 833 315,05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80,45%</w:t>
            </w:r>
          </w:p>
        </w:tc>
      </w:tr>
      <w:tr w:rsidR="002E2560" w:rsidRPr="002E2560" w:rsidTr="009A02A9">
        <w:trPr>
          <w:trHeight w:val="300"/>
        </w:trPr>
        <w:tc>
          <w:tcPr>
            <w:tcW w:w="18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DOCENCIA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39 235 211,00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35 192 456,48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4 042 754,52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89,70%</w:t>
            </w:r>
          </w:p>
        </w:tc>
      </w:tr>
      <w:tr w:rsidR="002E2560" w:rsidRPr="002E2560" w:rsidTr="009A02A9">
        <w:trPr>
          <w:trHeight w:val="300"/>
        </w:trPr>
        <w:tc>
          <w:tcPr>
            <w:tcW w:w="18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VIESA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7 968 421,80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7 706 951,75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261 470,05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96,72%</w:t>
            </w:r>
          </w:p>
        </w:tc>
      </w:tr>
      <w:tr w:rsidR="002E2560" w:rsidRPr="002E2560" w:rsidTr="009A02A9">
        <w:trPr>
          <w:trHeight w:val="300"/>
        </w:trPr>
        <w:tc>
          <w:tcPr>
            <w:tcW w:w="18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 xml:space="preserve">VIE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7 435 624,58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6 358 677,18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1 076 947,40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85,52%</w:t>
            </w:r>
          </w:p>
        </w:tc>
      </w:tr>
      <w:tr w:rsidR="002E2560" w:rsidRPr="002E2560" w:rsidTr="009A02A9">
        <w:trPr>
          <w:trHeight w:val="300"/>
        </w:trPr>
        <w:tc>
          <w:tcPr>
            <w:tcW w:w="18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SEDE SAN CARLOS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8 033 857,88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7 116 235,45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917 622,43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2560" w:rsidRPr="002E2560" w:rsidRDefault="002E2560" w:rsidP="002E25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</w:pPr>
            <w:r w:rsidRPr="002E2560">
              <w:rPr>
                <w:rFonts w:ascii="Calibri" w:hAnsi="Calibri" w:cs="Calibri"/>
                <w:color w:val="000000"/>
                <w:sz w:val="20"/>
                <w:szCs w:val="20"/>
                <w:lang w:eastAsia="es-CR"/>
              </w:rPr>
              <w:t>88,58%</w:t>
            </w:r>
          </w:p>
        </w:tc>
      </w:tr>
    </w:tbl>
    <w:p w:rsidR="002E2560" w:rsidRDefault="002E2560" w:rsidP="002E2560">
      <w:pPr>
        <w:spacing w:after="200" w:line="276" w:lineRule="auto"/>
        <w:ind w:left="993"/>
        <w:jc w:val="both"/>
        <w:rPr>
          <w:rFonts w:ascii="Arial" w:hAnsi="Arial" w:cs="Arial"/>
          <w:lang w:val="es-CR"/>
        </w:rPr>
      </w:pPr>
    </w:p>
    <w:p w:rsidR="002E2560" w:rsidRDefault="002E2560" w:rsidP="002E2560">
      <w:pPr>
        <w:numPr>
          <w:ilvl w:val="0"/>
          <w:numId w:val="21"/>
        </w:numPr>
        <w:ind w:left="992"/>
        <w:jc w:val="both"/>
        <w:rPr>
          <w:rFonts w:ascii="Arial" w:hAnsi="Arial" w:cs="Arial"/>
          <w:lang w:val="es-CR"/>
        </w:rPr>
      </w:pPr>
      <w:r w:rsidRPr="002E2560">
        <w:rPr>
          <w:rFonts w:ascii="Arial" w:hAnsi="Arial" w:cs="Arial"/>
          <w:lang w:val="es-CR"/>
        </w:rPr>
        <w:t xml:space="preserve">En cuanto a egresos por partida el siguiente cuadro nos detalla como </w:t>
      </w:r>
    </w:p>
    <w:p w:rsidR="002E2560" w:rsidRDefault="002E2560" w:rsidP="002E2560">
      <w:pPr>
        <w:ind w:left="992"/>
        <w:jc w:val="both"/>
        <w:rPr>
          <w:rFonts w:ascii="Arial" w:hAnsi="Arial" w:cs="Arial"/>
          <w:lang w:val="es-CR"/>
        </w:rPr>
      </w:pPr>
      <w:r w:rsidRPr="002E2560">
        <w:rPr>
          <w:rFonts w:ascii="Arial" w:hAnsi="Arial" w:cs="Arial"/>
          <w:bCs/>
          <w:szCs w:val="20"/>
          <w:lang w:val="es-ES_tradnl"/>
        </w:rPr>
        <w:t>algunas</w:t>
      </w:r>
      <w:r w:rsidRPr="002E2560">
        <w:rPr>
          <w:rFonts w:ascii="Arial" w:hAnsi="Arial" w:cs="Arial"/>
          <w:lang w:val="es-CR"/>
        </w:rPr>
        <w:t xml:space="preserve"> de éstas, no logran alcanzar el 90%.</w:t>
      </w:r>
    </w:p>
    <w:p w:rsidR="002E2560" w:rsidRDefault="002E2560" w:rsidP="002E2560">
      <w:pPr>
        <w:ind w:left="992"/>
        <w:jc w:val="both"/>
        <w:rPr>
          <w:rFonts w:ascii="Arial" w:hAnsi="Arial" w:cs="Arial"/>
          <w:lang w:val="es-CR"/>
        </w:rPr>
      </w:pPr>
    </w:p>
    <w:p w:rsidR="002E2560" w:rsidRPr="002E2560" w:rsidRDefault="002E2560" w:rsidP="002E2560">
      <w:pPr>
        <w:ind w:left="992"/>
        <w:jc w:val="both"/>
        <w:rPr>
          <w:rFonts w:ascii="Arial" w:hAnsi="Arial" w:cs="Arial"/>
          <w:lang w:val="es-CR"/>
        </w:rPr>
      </w:pPr>
    </w:p>
    <w:p w:rsidR="002E2560" w:rsidRPr="002E2560" w:rsidRDefault="002E2560" w:rsidP="002E2560">
      <w:pPr>
        <w:spacing w:after="200" w:line="276" w:lineRule="auto"/>
        <w:jc w:val="both"/>
        <w:rPr>
          <w:rFonts w:ascii="Arial" w:hAnsi="Arial" w:cs="Arial"/>
          <w:lang w:val="es-CR"/>
        </w:rPr>
      </w:pPr>
      <w:r w:rsidRPr="002E2560">
        <w:rPr>
          <w:noProof/>
          <w:sz w:val="20"/>
          <w:szCs w:val="20"/>
          <w:lang w:val="es-CR" w:eastAsia="es-CR"/>
        </w:rPr>
        <w:drawing>
          <wp:inline distT="0" distB="0" distL="0" distR="0" wp14:anchorId="423CAF5E" wp14:editId="2D20749A">
            <wp:extent cx="5612130" cy="2298101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9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60" w:rsidRDefault="002E2560" w:rsidP="002E2560">
      <w:pPr>
        <w:jc w:val="both"/>
        <w:rPr>
          <w:rFonts w:ascii="Arial" w:hAnsi="Arial" w:cs="Arial"/>
          <w:lang w:val="es-CR"/>
        </w:rPr>
      </w:pPr>
      <w:r w:rsidRPr="002E2560">
        <w:rPr>
          <w:rFonts w:ascii="Arial" w:hAnsi="Arial" w:cs="Arial"/>
          <w:lang w:val="es-CR"/>
        </w:rPr>
        <w:t>Estas partidas por programa, nos permite observar lo siguiente:</w:t>
      </w:r>
    </w:p>
    <w:p w:rsidR="002E2560" w:rsidRPr="002E2560" w:rsidRDefault="002E2560" w:rsidP="002E2560">
      <w:pPr>
        <w:jc w:val="both"/>
        <w:rPr>
          <w:rFonts w:ascii="Arial" w:hAnsi="Arial" w:cs="Arial"/>
          <w:lang w:val="es-CR"/>
        </w:rPr>
      </w:pPr>
    </w:p>
    <w:p w:rsidR="002E2560" w:rsidRPr="002E2560" w:rsidRDefault="002E2560" w:rsidP="002E2560">
      <w:pPr>
        <w:ind w:left="708"/>
        <w:jc w:val="both"/>
        <w:rPr>
          <w:rFonts w:ascii="Arial" w:hAnsi="Arial" w:cs="Arial"/>
          <w:b/>
          <w:color w:val="323E4F"/>
          <w:szCs w:val="20"/>
          <w:lang w:eastAsia="en-US"/>
        </w:rPr>
      </w:pPr>
      <w:r w:rsidRPr="002E2560">
        <w:rPr>
          <w:rFonts w:ascii="Arial" w:hAnsi="Arial" w:cs="Arial"/>
          <w:b/>
          <w:color w:val="323E4F"/>
          <w:szCs w:val="20"/>
          <w:lang w:eastAsia="en-US"/>
        </w:rPr>
        <w:t xml:space="preserve">Materiales y suministros con una ejecución del 77,13%; </w:t>
      </w:r>
    </w:p>
    <w:p w:rsidR="002E2560" w:rsidRPr="002E2560" w:rsidRDefault="002E2560" w:rsidP="002E2560">
      <w:pPr>
        <w:numPr>
          <w:ilvl w:val="0"/>
          <w:numId w:val="22"/>
        </w:numPr>
        <w:jc w:val="both"/>
        <w:rPr>
          <w:rFonts w:ascii="Arial" w:hAnsi="Arial" w:cs="Arial"/>
          <w:szCs w:val="20"/>
          <w:lang w:val="es-CR"/>
        </w:rPr>
      </w:pPr>
      <w:r w:rsidRPr="002E2560">
        <w:rPr>
          <w:rFonts w:ascii="Arial" w:hAnsi="Arial" w:cs="Arial"/>
          <w:szCs w:val="20"/>
          <w:lang w:val="es-CR"/>
        </w:rPr>
        <w:t xml:space="preserve">Un 58% es ejecutado por Docencia.  Algunas de las subpartidas que están subejecutadas son: (Productos Químicos y conexos 37,11% (92,974.84 presupuestado y gastado 34,503.08); Combustible 6.% (57 millones presupuestados y gastados 3,5); Productos farmacéuticos 11% (638.960 presupuestado y gastado 73.970) y otros materiales de construcción 5% ( 1,250.800 presupuestado y gastado 64.990)) </w:t>
      </w:r>
    </w:p>
    <w:p w:rsidR="002E2560" w:rsidRPr="002E2560" w:rsidRDefault="002E2560" w:rsidP="002E2560">
      <w:pPr>
        <w:ind w:left="1428"/>
        <w:jc w:val="both"/>
        <w:rPr>
          <w:rFonts w:ascii="Arial" w:hAnsi="Arial" w:cs="Arial"/>
          <w:szCs w:val="20"/>
          <w:lang w:val="es-CR"/>
        </w:rPr>
      </w:pPr>
    </w:p>
    <w:p w:rsidR="002E2560" w:rsidRPr="002E2560" w:rsidRDefault="002E2560" w:rsidP="002E2560">
      <w:pPr>
        <w:numPr>
          <w:ilvl w:val="0"/>
          <w:numId w:val="22"/>
        </w:numPr>
        <w:jc w:val="both"/>
        <w:rPr>
          <w:rFonts w:ascii="Arial" w:hAnsi="Arial" w:cs="Arial"/>
          <w:szCs w:val="20"/>
          <w:lang w:val="es-CR"/>
        </w:rPr>
      </w:pPr>
      <w:r w:rsidRPr="002E2560">
        <w:rPr>
          <w:rFonts w:ascii="Arial" w:hAnsi="Arial" w:cs="Arial"/>
          <w:szCs w:val="20"/>
          <w:lang w:val="es-CR"/>
        </w:rPr>
        <w:t xml:space="preserve">Un 58% es ejecutado por la VIE.  Algunas de las subpartidas que están subejecutadas son: (combustibles y lubricantes 20% (60,929.40 presupuestado y gastado 12,528.420); otros útiles y materiales diversos 21% (116,709.66 presupuestado y gastado 25,077.91) , productos de </w:t>
      </w:r>
      <w:r w:rsidRPr="002E2560">
        <w:rPr>
          <w:rFonts w:ascii="Arial" w:hAnsi="Arial" w:cs="Arial"/>
          <w:szCs w:val="20"/>
          <w:lang w:val="es-CR"/>
        </w:rPr>
        <w:lastRenderedPageBreak/>
        <w:t>cartón y papel 24% (20,510.87 presupuestado y gastado 4,976.55); otros materiales 2% (73 millones presupuestado y gastado 2 millones)</w:t>
      </w:r>
    </w:p>
    <w:p w:rsidR="002E2560" w:rsidRPr="002E2560" w:rsidRDefault="002E2560" w:rsidP="002E2560">
      <w:pPr>
        <w:jc w:val="both"/>
        <w:rPr>
          <w:rFonts w:ascii="Arial" w:hAnsi="Arial" w:cs="Arial"/>
          <w:color w:val="323E4F"/>
          <w:szCs w:val="20"/>
          <w:lang w:eastAsia="en-US"/>
        </w:rPr>
      </w:pPr>
    </w:p>
    <w:p w:rsidR="002E2560" w:rsidRPr="002E2560" w:rsidRDefault="002E2560" w:rsidP="002E2560">
      <w:pPr>
        <w:ind w:left="708"/>
        <w:jc w:val="both"/>
        <w:rPr>
          <w:rFonts w:ascii="Arial" w:hAnsi="Arial" w:cs="Arial"/>
          <w:b/>
          <w:color w:val="323E4F"/>
          <w:szCs w:val="20"/>
          <w:lang w:eastAsia="en-US"/>
        </w:rPr>
      </w:pPr>
      <w:r w:rsidRPr="002E2560">
        <w:rPr>
          <w:rFonts w:ascii="Arial" w:hAnsi="Arial" w:cs="Arial"/>
          <w:b/>
          <w:color w:val="323E4F"/>
          <w:szCs w:val="20"/>
          <w:lang w:eastAsia="en-US"/>
        </w:rPr>
        <w:t xml:space="preserve">Servicios con una ejecución del 70% </w:t>
      </w:r>
    </w:p>
    <w:p w:rsidR="002E2560" w:rsidRPr="002E2560" w:rsidRDefault="002E2560" w:rsidP="002E2560">
      <w:pPr>
        <w:numPr>
          <w:ilvl w:val="0"/>
          <w:numId w:val="22"/>
        </w:numPr>
        <w:jc w:val="both"/>
        <w:rPr>
          <w:rFonts w:ascii="Arial" w:hAnsi="Arial" w:cs="Arial"/>
          <w:szCs w:val="20"/>
          <w:lang w:val="es-CR"/>
        </w:rPr>
      </w:pPr>
      <w:r w:rsidRPr="002E2560">
        <w:rPr>
          <w:rFonts w:ascii="Arial" w:hAnsi="Arial" w:cs="Arial"/>
          <w:szCs w:val="20"/>
          <w:lang w:val="es-CR"/>
        </w:rPr>
        <w:t>VIE. Algunas de las subpartidas que están subejecutadas son (Telecomunicación 44% (1,701.10 presupuestado y gastado 935.91); impresión 35% (126,611.56 presupuestado y gastado 44,597.14); servicios jurídicos 36% (11,850.00 presupuestado y gastado  4,275.98); servicios de apoyo 60 % (213,763.41 presupuestado y gastado 128,904.93);  transporte dentro del país 20% (16,420.04   presupuestado y   gastado  3,304.21) y   viáticos   56%  (63,418.46 presupuestado y gastado 35,805.51).</w:t>
      </w:r>
    </w:p>
    <w:p w:rsidR="002E2560" w:rsidRPr="002E2560" w:rsidRDefault="002E2560" w:rsidP="002E2560">
      <w:pPr>
        <w:ind w:left="708"/>
        <w:jc w:val="both"/>
        <w:rPr>
          <w:rFonts w:ascii="Arial" w:hAnsi="Arial" w:cs="Arial"/>
          <w:b/>
          <w:color w:val="323E4F"/>
          <w:szCs w:val="20"/>
          <w:lang w:val="es-CR" w:eastAsia="en-US"/>
        </w:rPr>
      </w:pPr>
    </w:p>
    <w:p w:rsidR="002E2560" w:rsidRPr="002E2560" w:rsidRDefault="002E2560" w:rsidP="002E2560">
      <w:pPr>
        <w:ind w:left="708"/>
        <w:jc w:val="both"/>
        <w:rPr>
          <w:rFonts w:ascii="Arial" w:hAnsi="Arial" w:cs="Arial"/>
          <w:b/>
          <w:color w:val="323E4F"/>
          <w:szCs w:val="20"/>
          <w:lang w:eastAsia="en-US"/>
        </w:rPr>
      </w:pPr>
      <w:r w:rsidRPr="002E2560">
        <w:rPr>
          <w:rFonts w:ascii="Arial" w:hAnsi="Arial" w:cs="Arial"/>
          <w:b/>
          <w:color w:val="323E4F"/>
          <w:szCs w:val="20"/>
          <w:lang w:eastAsia="en-US"/>
        </w:rPr>
        <w:t xml:space="preserve">Bienes duraderos con un 70,76%; </w:t>
      </w:r>
    </w:p>
    <w:p w:rsidR="002E2560" w:rsidRPr="002E2560" w:rsidRDefault="002E2560" w:rsidP="002E2560">
      <w:pPr>
        <w:numPr>
          <w:ilvl w:val="0"/>
          <w:numId w:val="22"/>
        </w:numPr>
        <w:jc w:val="both"/>
        <w:rPr>
          <w:rFonts w:ascii="Arial" w:hAnsi="Arial" w:cs="Arial"/>
          <w:szCs w:val="20"/>
          <w:lang w:val="es-CR"/>
        </w:rPr>
      </w:pPr>
      <w:r w:rsidRPr="002E2560">
        <w:rPr>
          <w:rFonts w:ascii="Arial" w:hAnsi="Arial" w:cs="Arial"/>
          <w:szCs w:val="20"/>
          <w:lang w:val="es-CR"/>
        </w:rPr>
        <w:t xml:space="preserve">Un 67% ejecutado por la VIE y  </w:t>
      </w:r>
    </w:p>
    <w:p w:rsidR="002E2560" w:rsidRPr="002E2560" w:rsidRDefault="002E2560" w:rsidP="002E2560">
      <w:pPr>
        <w:numPr>
          <w:ilvl w:val="0"/>
          <w:numId w:val="22"/>
        </w:numPr>
        <w:jc w:val="both"/>
        <w:rPr>
          <w:rFonts w:ascii="Arial" w:hAnsi="Arial" w:cs="Arial"/>
          <w:szCs w:val="20"/>
          <w:lang w:val="es-CR"/>
        </w:rPr>
      </w:pPr>
      <w:r w:rsidRPr="002E2560">
        <w:rPr>
          <w:rFonts w:ascii="Arial" w:hAnsi="Arial" w:cs="Arial"/>
          <w:szCs w:val="20"/>
          <w:lang w:val="es-CR"/>
        </w:rPr>
        <w:t xml:space="preserve">Un 79% ejecutado por la Docencia (por ejemplo: la subpartida de equipo de oficina logró una ejecución del 55%); </w:t>
      </w:r>
    </w:p>
    <w:p w:rsidR="002E2560" w:rsidRPr="002E2560" w:rsidRDefault="002E2560" w:rsidP="002E2560">
      <w:pPr>
        <w:numPr>
          <w:ilvl w:val="0"/>
          <w:numId w:val="22"/>
        </w:numPr>
        <w:jc w:val="both"/>
        <w:rPr>
          <w:rFonts w:ascii="Arial" w:hAnsi="Arial" w:cs="Arial"/>
          <w:szCs w:val="20"/>
          <w:lang w:val="es-CR"/>
        </w:rPr>
      </w:pPr>
      <w:r w:rsidRPr="002E2560">
        <w:rPr>
          <w:rFonts w:ascii="Arial" w:hAnsi="Arial" w:cs="Arial"/>
          <w:szCs w:val="20"/>
          <w:lang w:val="es-CR"/>
        </w:rPr>
        <w:t>Un 58% ejecutado por San Carlos (algunas de las subpartidas que están subejecutadas son equipo de oficina 36%, vías de comunicación 11%, otra construcción 18% (433 millones se gastaron 78 millones)</w:t>
      </w:r>
    </w:p>
    <w:p w:rsidR="002E2560" w:rsidRPr="002E2560" w:rsidRDefault="002E2560" w:rsidP="002E2560">
      <w:pPr>
        <w:ind w:left="1428"/>
        <w:jc w:val="both"/>
        <w:rPr>
          <w:rFonts w:ascii="Arial" w:hAnsi="Arial" w:cs="Arial"/>
          <w:szCs w:val="20"/>
          <w:lang w:val="es-CR"/>
        </w:rPr>
      </w:pPr>
    </w:p>
    <w:p w:rsidR="002E2560" w:rsidRPr="002E2560" w:rsidRDefault="002E2560" w:rsidP="002E2560">
      <w:pPr>
        <w:numPr>
          <w:ilvl w:val="0"/>
          <w:numId w:val="21"/>
        </w:numPr>
        <w:ind w:left="992" w:hanging="357"/>
        <w:jc w:val="both"/>
        <w:rPr>
          <w:rFonts w:ascii="Arial" w:hAnsi="Arial" w:cs="Arial"/>
          <w:szCs w:val="20"/>
          <w:lang w:val="es-CR"/>
        </w:rPr>
      </w:pPr>
      <w:r w:rsidRPr="002E2560">
        <w:rPr>
          <w:rFonts w:ascii="Arial" w:hAnsi="Arial" w:cs="Arial"/>
          <w:szCs w:val="20"/>
          <w:lang w:val="es-CR"/>
        </w:rPr>
        <w:t>En cuanto al egreso por proyecto.  El siguiente listado de proyectos presentan una muy baja ejecución.</w:t>
      </w:r>
    </w:p>
    <w:p w:rsidR="002E2560" w:rsidRPr="002E2560" w:rsidRDefault="002E2560" w:rsidP="002E2560">
      <w:pPr>
        <w:spacing w:after="200" w:line="276" w:lineRule="auto"/>
        <w:jc w:val="both"/>
        <w:rPr>
          <w:rFonts w:ascii="Arial" w:hAnsi="Arial" w:cs="Arial"/>
          <w:szCs w:val="20"/>
          <w:lang w:val="es-CR"/>
        </w:rPr>
      </w:pPr>
    </w:p>
    <w:tbl>
      <w:tblPr>
        <w:tblStyle w:val="Tablaconcuadrcula9"/>
        <w:tblW w:w="0" w:type="auto"/>
        <w:tblInd w:w="1838" w:type="dxa"/>
        <w:tblLook w:val="04A0" w:firstRow="1" w:lastRow="0" w:firstColumn="1" w:lastColumn="0" w:noHBand="0" w:noVBand="1"/>
      </w:tblPr>
      <w:tblGrid>
        <w:gridCol w:w="4536"/>
        <w:gridCol w:w="709"/>
      </w:tblGrid>
      <w:tr w:rsidR="002E2560" w:rsidRPr="002E2560" w:rsidTr="009A02A9">
        <w:trPr>
          <w:tblHeader/>
        </w:trPr>
        <w:tc>
          <w:tcPr>
            <w:tcW w:w="4536" w:type="dxa"/>
          </w:tcPr>
          <w:p w:rsidR="002E2560" w:rsidRPr="002E2560" w:rsidRDefault="002E2560" w:rsidP="002E2560">
            <w:pPr>
              <w:numPr>
                <w:ilvl w:val="0"/>
                <w:numId w:val="18"/>
              </w:numPr>
              <w:spacing w:after="100" w:line="276" w:lineRule="auto"/>
              <w:ind w:left="1627"/>
              <w:rPr>
                <w:b/>
                <w:sz w:val="20"/>
                <w:szCs w:val="20"/>
                <w:lang w:val="es-CR"/>
              </w:rPr>
            </w:pPr>
            <w:r w:rsidRPr="002E2560">
              <w:rPr>
                <w:b/>
                <w:sz w:val="20"/>
                <w:szCs w:val="20"/>
                <w:lang w:val="es-CR"/>
              </w:rPr>
              <w:t>PROYECTO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%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MENOS DEL 20%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b/>
                <w:color w:val="323E4F"/>
                <w:sz w:val="20"/>
                <w:szCs w:val="20"/>
              </w:rPr>
            </w:pP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Reserva 1.5 contrapartida Fondos Mixtos 51.2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0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Reserva Fondos Mixtos 86 millones 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0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DATIC 855 millones y se gastó 33 millones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4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Centros de Formación Humanística 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12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Revista comunicación 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20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MENOS DEL 50%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b/>
                <w:color w:val="323E4F"/>
                <w:sz w:val="20"/>
                <w:szCs w:val="20"/>
              </w:rPr>
            </w:pP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Sistema de matrícula 58 millones y se gastó 16 millones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28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Centro Transferencia Zona Sur 20 %  22 millones y gasto 4 mill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20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Trabajo Comunal  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22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Proyectos de Desarrollo de la VIC. ADM. 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30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Área docencia ciencias naturales 44 millones y gastó 14 millones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32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Servicio Bibliotecario SC 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36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Programa Sostenibilidad y Excel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37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lastRenderedPageBreak/>
              <w:t>Fondo de proyectos estudiantiles 5 millones presupuestados y 1,8 gastados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38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Centro Académico Institucional 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42</w:t>
            </w:r>
          </w:p>
        </w:tc>
      </w:tr>
      <w:tr w:rsidR="002E2560" w:rsidRPr="002E2560" w:rsidTr="009A02A9"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MENOS DEL 70%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b/>
                <w:color w:val="323E4F"/>
                <w:sz w:val="20"/>
                <w:szCs w:val="20"/>
              </w:rPr>
            </w:pPr>
          </w:p>
        </w:tc>
      </w:tr>
      <w:tr w:rsidR="002E2560" w:rsidRPr="002E2560" w:rsidTr="009A02A9">
        <w:trPr>
          <w:trHeight w:val="628"/>
        </w:trPr>
        <w:tc>
          <w:tcPr>
            <w:tcW w:w="4536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Partidas Institucionales SC  659 millones presupuestado y gastado 368 millones</w:t>
            </w:r>
          </w:p>
        </w:tc>
        <w:tc>
          <w:tcPr>
            <w:tcW w:w="709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56</w:t>
            </w:r>
          </w:p>
        </w:tc>
      </w:tr>
    </w:tbl>
    <w:p w:rsidR="002E2560" w:rsidRPr="002E2560" w:rsidRDefault="002E2560" w:rsidP="002E2560">
      <w:pPr>
        <w:spacing w:after="200" w:line="276" w:lineRule="auto"/>
        <w:ind w:right="-91"/>
        <w:jc w:val="both"/>
        <w:rPr>
          <w:rFonts w:ascii="Arial" w:hAnsi="Arial" w:cs="Arial"/>
          <w:color w:val="323E4F"/>
          <w:lang w:val="es-CR" w:eastAsia="en-US"/>
        </w:rPr>
      </w:pPr>
    </w:p>
    <w:p w:rsidR="002E2560" w:rsidRPr="002E2560" w:rsidRDefault="002E2560" w:rsidP="002E2560">
      <w:pPr>
        <w:numPr>
          <w:ilvl w:val="0"/>
          <w:numId w:val="21"/>
        </w:numPr>
        <w:ind w:left="993"/>
        <w:jc w:val="both"/>
        <w:rPr>
          <w:rFonts w:ascii="Arial" w:hAnsi="Arial" w:cs="Arial"/>
          <w:lang w:val="es-CR"/>
        </w:rPr>
      </w:pPr>
      <w:r w:rsidRPr="002E2560">
        <w:rPr>
          <w:rFonts w:ascii="Arial" w:hAnsi="Arial" w:cs="Arial"/>
          <w:lang w:val="es-CR"/>
        </w:rPr>
        <w:t>En cuanto a la partida de remuneración, la Comisión de Planificación y Administración la está revisando aparte.</w:t>
      </w:r>
    </w:p>
    <w:p w:rsidR="002E2560" w:rsidRDefault="002E2560" w:rsidP="002E2560">
      <w:pPr>
        <w:ind w:right="-91"/>
        <w:rPr>
          <w:rFonts w:ascii="Arial" w:hAnsi="Arial" w:cs="Arial"/>
          <w:b/>
          <w:color w:val="323E4F"/>
          <w:lang w:eastAsia="en-US"/>
        </w:rPr>
      </w:pPr>
    </w:p>
    <w:p w:rsidR="002E2560" w:rsidRDefault="002E2560" w:rsidP="002E2560">
      <w:pPr>
        <w:ind w:right="-91"/>
        <w:rPr>
          <w:rFonts w:ascii="Arial" w:hAnsi="Arial" w:cs="Arial"/>
          <w:b/>
          <w:color w:val="323E4F"/>
          <w:lang w:eastAsia="en-US"/>
        </w:rPr>
      </w:pPr>
      <w:r w:rsidRPr="002E2560">
        <w:rPr>
          <w:rFonts w:ascii="Arial" w:hAnsi="Arial" w:cs="Arial"/>
          <w:b/>
          <w:color w:val="323E4F"/>
          <w:lang w:eastAsia="en-US"/>
        </w:rPr>
        <w:t>SE</w:t>
      </w:r>
      <w:r>
        <w:rPr>
          <w:rFonts w:ascii="Arial" w:hAnsi="Arial" w:cs="Arial"/>
          <w:b/>
          <w:color w:val="323E4F"/>
          <w:lang w:eastAsia="en-US"/>
        </w:rPr>
        <w:t xml:space="preserve"> ACUERDA</w:t>
      </w:r>
      <w:r w:rsidRPr="002E2560">
        <w:rPr>
          <w:rFonts w:ascii="Arial" w:hAnsi="Arial" w:cs="Arial"/>
          <w:b/>
          <w:color w:val="323E4F"/>
          <w:lang w:eastAsia="en-US"/>
        </w:rPr>
        <w:t>:</w:t>
      </w:r>
    </w:p>
    <w:p w:rsidR="002E2560" w:rsidRPr="002E2560" w:rsidRDefault="002E2560" w:rsidP="002E2560">
      <w:pPr>
        <w:ind w:right="-91"/>
        <w:rPr>
          <w:rFonts w:ascii="Arial" w:hAnsi="Arial" w:cs="Arial"/>
          <w:b/>
          <w:color w:val="323E4F"/>
          <w:lang w:eastAsia="en-US"/>
        </w:rPr>
      </w:pPr>
    </w:p>
    <w:p w:rsidR="002E2560" w:rsidRPr="002E2560" w:rsidRDefault="002E2560" w:rsidP="002E2560">
      <w:pPr>
        <w:numPr>
          <w:ilvl w:val="0"/>
          <w:numId w:val="23"/>
        </w:numPr>
        <w:ind w:left="364" w:right="-91"/>
        <w:jc w:val="both"/>
        <w:rPr>
          <w:rFonts w:ascii="Arial" w:hAnsi="Arial" w:cs="Arial"/>
          <w:lang w:val="es-CR"/>
        </w:rPr>
      </w:pPr>
      <w:r w:rsidRPr="002E2560">
        <w:rPr>
          <w:rFonts w:ascii="Arial" w:hAnsi="Arial" w:cs="Arial"/>
          <w:lang w:val="es-CR"/>
        </w:rPr>
        <w:t>Solicitar a la Administración lo siguiente:</w:t>
      </w:r>
    </w:p>
    <w:p w:rsidR="002E2560" w:rsidRPr="002E2560" w:rsidRDefault="002E2560" w:rsidP="002E2560">
      <w:pPr>
        <w:ind w:left="360" w:right="-91"/>
        <w:jc w:val="both"/>
        <w:rPr>
          <w:rFonts w:ascii="Arial" w:hAnsi="Arial" w:cs="Arial"/>
          <w:color w:val="323E4F"/>
          <w:lang w:eastAsia="en-US"/>
        </w:rPr>
      </w:pPr>
    </w:p>
    <w:p w:rsidR="002E2560" w:rsidRPr="002E2560" w:rsidRDefault="002E2560" w:rsidP="002E2560">
      <w:pPr>
        <w:ind w:left="993" w:right="-91" w:hanging="567"/>
        <w:jc w:val="both"/>
        <w:rPr>
          <w:rFonts w:ascii="Arial" w:hAnsi="Arial" w:cs="Arial"/>
          <w:color w:val="323E4F"/>
          <w:lang w:eastAsia="en-US"/>
        </w:rPr>
      </w:pPr>
      <w:r w:rsidRPr="002E2560">
        <w:rPr>
          <w:rFonts w:ascii="Arial" w:hAnsi="Arial" w:cs="Arial"/>
          <w:color w:val="323E4F"/>
          <w:lang w:eastAsia="en-US"/>
        </w:rPr>
        <w:t>a.1.</w:t>
      </w:r>
      <w:r w:rsidRPr="002E2560">
        <w:rPr>
          <w:rFonts w:ascii="Arial" w:hAnsi="Arial" w:cs="Arial"/>
          <w:color w:val="323E4F"/>
          <w:lang w:eastAsia="en-US"/>
        </w:rPr>
        <w:tab/>
        <w:t>Un análisis por Programa donde se justifique las razones por las cuales logró menos de un 90% de ejecución y un plan que detalle las acciones para mejorar la ejecución del presupuesto del 2018.</w:t>
      </w:r>
    </w:p>
    <w:p w:rsidR="002E2560" w:rsidRPr="002E2560" w:rsidRDefault="002E2560" w:rsidP="002E2560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2E2560" w:rsidRPr="002E2560" w:rsidRDefault="002E2560" w:rsidP="002E2560">
      <w:pPr>
        <w:ind w:left="993" w:right="-91" w:hanging="567"/>
        <w:jc w:val="both"/>
        <w:rPr>
          <w:rFonts w:ascii="Arial" w:hAnsi="Arial" w:cs="Arial"/>
          <w:color w:val="323E4F"/>
          <w:lang w:eastAsia="en-US"/>
        </w:rPr>
      </w:pPr>
      <w:r w:rsidRPr="002E2560">
        <w:rPr>
          <w:rFonts w:ascii="Arial" w:hAnsi="Arial" w:cs="Arial"/>
          <w:color w:val="323E4F"/>
          <w:lang w:eastAsia="en-US"/>
        </w:rPr>
        <w:t>a.2.</w:t>
      </w:r>
      <w:r w:rsidRPr="002E2560">
        <w:rPr>
          <w:rFonts w:ascii="Arial" w:hAnsi="Arial" w:cs="Arial"/>
          <w:color w:val="323E4F"/>
          <w:lang w:eastAsia="en-US"/>
        </w:rPr>
        <w:tab/>
        <w:t>Presentar una propuesta de Disposiciones de Ejecución 2018, con el fin de mejorar los resultados para el 2018.</w:t>
      </w:r>
    </w:p>
    <w:p w:rsidR="002E2560" w:rsidRPr="002E2560" w:rsidRDefault="002E2560" w:rsidP="002E2560">
      <w:pPr>
        <w:ind w:left="1440" w:right="-91"/>
        <w:jc w:val="both"/>
        <w:rPr>
          <w:rFonts w:ascii="Arial" w:hAnsi="Arial" w:cs="Arial"/>
          <w:color w:val="323E4F"/>
          <w:lang w:eastAsia="en-US"/>
        </w:rPr>
      </w:pPr>
    </w:p>
    <w:p w:rsidR="002E2560" w:rsidRPr="002E2560" w:rsidRDefault="002E2560" w:rsidP="002E2560">
      <w:pPr>
        <w:ind w:left="993" w:right="-91" w:hanging="567"/>
        <w:jc w:val="both"/>
        <w:rPr>
          <w:rFonts w:ascii="Arial" w:hAnsi="Arial" w:cs="Arial"/>
          <w:color w:val="323E4F"/>
          <w:lang w:eastAsia="en-US"/>
        </w:rPr>
      </w:pPr>
      <w:r w:rsidRPr="002E2560">
        <w:rPr>
          <w:rFonts w:ascii="Arial" w:hAnsi="Arial" w:cs="Arial"/>
          <w:color w:val="323E4F"/>
          <w:lang w:eastAsia="en-US"/>
        </w:rPr>
        <w:t>a.3.</w:t>
      </w:r>
      <w:r w:rsidRPr="002E2560">
        <w:rPr>
          <w:rFonts w:ascii="Arial" w:hAnsi="Arial" w:cs="Arial"/>
          <w:color w:val="323E4F"/>
          <w:lang w:eastAsia="en-US"/>
        </w:rPr>
        <w:tab/>
        <w:t>Solicitar un informe, de las razones de la ejecución del 2017, en los siguientes proyectos.</w:t>
      </w:r>
    </w:p>
    <w:p w:rsidR="002E2560" w:rsidRPr="002E2560" w:rsidRDefault="002E2560" w:rsidP="002E2560">
      <w:pPr>
        <w:ind w:left="1440" w:right="-91"/>
        <w:jc w:val="both"/>
        <w:rPr>
          <w:rFonts w:ascii="Arial" w:hAnsi="Arial" w:cs="Arial"/>
          <w:color w:val="323E4F"/>
          <w:lang w:eastAsia="en-US"/>
        </w:rPr>
      </w:pPr>
    </w:p>
    <w:tbl>
      <w:tblPr>
        <w:tblStyle w:val="Tablaconcuadrcula9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  <w:gridCol w:w="992"/>
      </w:tblGrid>
      <w:tr w:rsidR="002E2560" w:rsidRPr="002E2560" w:rsidTr="009A02A9">
        <w:trPr>
          <w:tblHeader/>
        </w:trPr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ind w:left="907"/>
              <w:jc w:val="center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PROYECTO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%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MENOS DEL 20%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b/>
                <w:color w:val="323E4F"/>
                <w:sz w:val="20"/>
                <w:szCs w:val="20"/>
              </w:rPr>
            </w:pP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Reserva 1.5 contrapartida Fondos Mixtos 51.2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0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Reserva Fondos Mixtos 86 millones 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0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DATIC 855 millones y se gastó 33 millones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4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Centros de Formación Humanística 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12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Revista comunicación 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20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MENOS DEL 50%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b/>
                <w:color w:val="323E4F"/>
                <w:sz w:val="20"/>
                <w:szCs w:val="20"/>
              </w:rPr>
            </w:pP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Sistema de matrícula 58 millones y se gastó 16 millones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28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Centro Transferencia Zona Sur 20 %  22 millones y gasto 4 mill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20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Trabajo Comunal  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22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Proyectos de Desarrollo de la VIC. ADM. 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30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Área docencia ciencias naturales 44 millones y gastó 14 millones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32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 xml:space="preserve">Servicio Bibliotecario SC 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36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Programa Sostenibilidad y Excel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37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Fondo de proyectos estudiantiles 5 millones presupuestados y 1,8 gastados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38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lastRenderedPageBreak/>
              <w:t xml:space="preserve">Centro Académico Institucional 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42</w:t>
            </w:r>
          </w:p>
        </w:tc>
      </w:tr>
      <w:tr w:rsidR="002E2560" w:rsidRPr="002E2560" w:rsidTr="009A02A9"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b/>
                <w:color w:val="323E4F"/>
                <w:sz w:val="20"/>
                <w:szCs w:val="20"/>
              </w:rPr>
            </w:pPr>
            <w:r w:rsidRPr="002E2560">
              <w:rPr>
                <w:b/>
                <w:color w:val="323E4F"/>
                <w:sz w:val="20"/>
                <w:szCs w:val="20"/>
              </w:rPr>
              <w:t>MENOS DEL 70%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b/>
                <w:color w:val="323E4F"/>
                <w:sz w:val="20"/>
                <w:szCs w:val="20"/>
              </w:rPr>
            </w:pPr>
          </w:p>
        </w:tc>
      </w:tr>
      <w:tr w:rsidR="002E2560" w:rsidRPr="002E2560" w:rsidTr="009A02A9">
        <w:trPr>
          <w:trHeight w:val="628"/>
        </w:trPr>
        <w:tc>
          <w:tcPr>
            <w:tcW w:w="6663" w:type="dxa"/>
          </w:tcPr>
          <w:p w:rsidR="002E2560" w:rsidRPr="002E2560" w:rsidRDefault="002E2560" w:rsidP="002E2560">
            <w:pPr>
              <w:spacing w:after="100" w:line="276" w:lineRule="auto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Partidas Institucionales SC  659 millones presupuestado y gastado 368 millones</w:t>
            </w:r>
          </w:p>
        </w:tc>
        <w:tc>
          <w:tcPr>
            <w:tcW w:w="992" w:type="dxa"/>
          </w:tcPr>
          <w:p w:rsidR="002E2560" w:rsidRPr="002E2560" w:rsidRDefault="002E2560" w:rsidP="002E2560">
            <w:pPr>
              <w:spacing w:after="100" w:line="276" w:lineRule="auto"/>
              <w:jc w:val="center"/>
              <w:rPr>
                <w:color w:val="323E4F"/>
                <w:sz w:val="20"/>
                <w:szCs w:val="20"/>
              </w:rPr>
            </w:pPr>
            <w:r w:rsidRPr="002E2560">
              <w:rPr>
                <w:color w:val="323E4F"/>
                <w:sz w:val="20"/>
                <w:szCs w:val="20"/>
              </w:rPr>
              <w:t>56</w:t>
            </w:r>
          </w:p>
        </w:tc>
      </w:tr>
    </w:tbl>
    <w:p w:rsidR="002E2560" w:rsidRPr="002E2560" w:rsidRDefault="002E2560" w:rsidP="002E2560">
      <w:pPr>
        <w:spacing w:after="200" w:line="276" w:lineRule="auto"/>
        <w:rPr>
          <w:rFonts w:ascii="Arial" w:hAnsi="Arial" w:cs="Arial"/>
          <w:sz w:val="22"/>
          <w:szCs w:val="20"/>
          <w:lang w:eastAsia="en-US"/>
        </w:rPr>
      </w:pPr>
    </w:p>
    <w:p w:rsidR="002E2560" w:rsidRPr="002E2560" w:rsidRDefault="002E2560" w:rsidP="002E2560">
      <w:pPr>
        <w:numPr>
          <w:ilvl w:val="0"/>
          <w:numId w:val="23"/>
        </w:numPr>
        <w:ind w:left="364" w:right="-91"/>
        <w:jc w:val="both"/>
        <w:rPr>
          <w:rFonts w:ascii="Arial" w:hAnsi="Arial" w:cs="Arial"/>
          <w:lang w:val="es-CR"/>
        </w:rPr>
      </w:pPr>
      <w:r w:rsidRPr="002E2560">
        <w:rPr>
          <w:rFonts w:ascii="Arial" w:hAnsi="Arial" w:cs="Arial"/>
          <w:lang w:val="es-CR"/>
        </w:rPr>
        <w:t xml:space="preserve">Solicitar a la Administración presentar esta información a más tardar un mes calendario a partir de la aprobación de esta propuesta. </w:t>
      </w:r>
    </w:p>
    <w:p w:rsidR="002E2560" w:rsidRPr="0073629D" w:rsidRDefault="002E2560" w:rsidP="002E2560">
      <w:pPr>
        <w:rPr>
          <w:rFonts w:ascii="Arial" w:hAnsi="Arial" w:cs="Arial"/>
          <w:sz w:val="18"/>
          <w:szCs w:val="18"/>
        </w:rPr>
      </w:pPr>
    </w:p>
    <w:p w:rsidR="00887FCC" w:rsidRDefault="002204D7" w:rsidP="002E2560">
      <w:pPr>
        <w:numPr>
          <w:ilvl w:val="0"/>
          <w:numId w:val="23"/>
        </w:numPr>
        <w:ind w:left="364" w:right="-91"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4F7EB0" w:rsidRDefault="004F7EB0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1A214B" w:rsidRDefault="002E2560" w:rsidP="002E2560">
      <w:pPr>
        <w:spacing w:after="200" w:line="276" w:lineRule="auto"/>
        <w:rPr>
          <w:rFonts w:ascii="Arial" w:hAnsi="Arial" w:cs="Arial"/>
          <w:b/>
          <w:i/>
          <w:color w:val="323E4F"/>
          <w:sz w:val="18"/>
          <w:szCs w:val="18"/>
          <w:lang w:eastAsia="en-US"/>
        </w:rPr>
      </w:pPr>
      <w:r w:rsidRPr="002E2560">
        <w:rPr>
          <w:rFonts w:ascii="Arial" w:hAnsi="Arial" w:cs="Arial"/>
          <w:b/>
          <w:i/>
          <w:color w:val="323E4F"/>
          <w:sz w:val="18"/>
          <w:szCs w:val="18"/>
          <w:lang w:eastAsia="en-US"/>
        </w:rPr>
        <w:t xml:space="preserve">Palabras Clave: Plan – presupuesto – egresos – partidas </w:t>
      </w:r>
      <w:r>
        <w:rPr>
          <w:rFonts w:ascii="Arial" w:hAnsi="Arial" w:cs="Arial"/>
          <w:b/>
          <w:i/>
          <w:color w:val="323E4F"/>
          <w:sz w:val="18"/>
          <w:szCs w:val="18"/>
          <w:lang w:eastAsia="en-US"/>
        </w:rPr>
        <w:t>–</w:t>
      </w:r>
      <w:r w:rsidRPr="002E2560">
        <w:rPr>
          <w:rFonts w:ascii="Arial" w:hAnsi="Arial" w:cs="Arial"/>
          <w:b/>
          <w:i/>
          <w:color w:val="323E4F"/>
          <w:sz w:val="18"/>
          <w:szCs w:val="18"/>
          <w:lang w:eastAsia="en-US"/>
        </w:rPr>
        <w:t xml:space="preserve"> proyectos</w:t>
      </w:r>
    </w:p>
    <w:p w:rsidR="002E2560" w:rsidRPr="002E2560" w:rsidRDefault="002E2560" w:rsidP="002E2560">
      <w:pPr>
        <w:spacing w:after="200" w:line="276" w:lineRule="auto"/>
        <w:rPr>
          <w:rFonts w:ascii="Arial" w:hAnsi="Arial" w:cs="Arial"/>
          <w:b/>
          <w:i/>
          <w:color w:val="323E4F"/>
          <w:sz w:val="18"/>
          <w:szCs w:val="18"/>
          <w:lang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CE7F7E" w:rsidRPr="00474B22" w:rsidRDefault="00CE7F7E" w:rsidP="002E2560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</w:tc>
        <w:tc>
          <w:tcPr>
            <w:tcW w:w="4361" w:type="dxa"/>
          </w:tcPr>
          <w:p w:rsidR="00CE7F7E" w:rsidRPr="00474B22" w:rsidRDefault="00CE7F7E" w:rsidP="002E2560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2E2560" w:rsidRPr="00474B22" w:rsidRDefault="002E2560" w:rsidP="002E2560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Oficina Asesoría Legal</w:t>
      </w: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</w:t>
      </w:r>
    </w:p>
    <w:p w:rsidR="002E2560" w:rsidRPr="00474B22" w:rsidRDefault="002E2560" w:rsidP="002E2560">
      <w:pPr>
        <w:ind w:firstLine="34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2E2560" w:rsidRPr="00474B22" w:rsidRDefault="002E2560" w:rsidP="002E2560">
      <w:pPr>
        <w:ind w:left="720" w:hanging="720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Comunicación y Mercadeo </w:t>
      </w:r>
    </w:p>
    <w:p w:rsidR="002E2560" w:rsidRPr="00474B22" w:rsidRDefault="002E2560" w:rsidP="002E2560">
      <w:pPr>
        <w:ind w:left="720" w:hanging="720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Centro de Archivo y Comunicaciones</w:t>
      </w:r>
    </w:p>
    <w:p w:rsidR="00E00132" w:rsidRPr="002E2560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</w:p>
    <w:sectPr w:rsidR="00F41044" w:rsidRPr="00F41044" w:rsidSect="00CE0215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A8" w:rsidRDefault="00435CA8">
      <w:r>
        <w:separator/>
      </w:r>
    </w:p>
  </w:endnote>
  <w:endnote w:type="continuationSeparator" w:id="0">
    <w:p w:rsidR="00435CA8" w:rsidRDefault="0043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A8" w:rsidRDefault="00435CA8">
      <w:r>
        <w:separator/>
      </w:r>
    </w:p>
  </w:footnote>
  <w:footnote w:type="continuationSeparator" w:id="0">
    <w:p w:rsidR="00435CA8" w:rsidRDefault="0043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3F0538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="00387ECD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563417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2E2560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387ECD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07 de febrero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952481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CF1"/>
    <w:multiLevelType w:val="hybridMultilevel"/>
    <w:tmpl w:val="14F8ACCA"/>
    <w:lvl w:ilvl="0" w:tplc="D298CC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64B82"/>
    <w:multiLevelType w:val="hybridMultilevel"/>
    <w:tmpl w:val="884E9DBE"/>
    <w:lvl w:ilvl="0" w:tplc="13A6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39"/>
    <w:multiLevelType w:val="hybridMultilevel"/>
    <w:tmpl w:val="4246D034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873C34"/>
    <w:multiLevelType w:val="hybridMultilevel"/>
    <w:tmpl w:val="A4DE594A"/>
    <w:lvl w:ilvl="0" w:tplc="2A6E36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5814EE"/>
    <w:multiLevelType w:val="hybridMultilevel"/>
    <w:tmpl w:val="152A71C8"/>
    <w:lvl w:ilvl="0" w:tplc="6A22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2916B7"/>
    <w:multiLevelType w:val="hybridMultilevel"/>
    <w:tmpl w:val="11D8074C"/>
    <w:lvl w:ilvl="0" w:tplc="D6E0D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677464"/>
    <w:multiLevelType w:val="hybridMultilevel"/>
    <w:tmpl w:val="C30AC8FA"/>
    <w:lvl w:ilvl="0" w:tplc="992C9710">
      <w:start w:val="1"/>
      <w:numFmt w:val="lowerLetter"/>
      <w:lvlText w:val="%1."/>
      <w:lvlJc w:val="left"/>
      <w:pPr>
        <w:ind w:left="162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4E073358"/>
    <w:multiLevelType w:val="multilevel"/>
    <w:tmpl w:val="DFB85738"/>
    <w:lvl w:ilvl="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75FE5"/>
    <w:multiLevelType w:val="hybridMultilevel"/>
    <w:tmpl w:val="1FF45AC8"/>
    <w:lvl w:ilvl="0" w:tplc="216A34FA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0CC"/>
    <w:multiLevelType w:val="hybridMultilevel"/>
    <w:tmpl w:val="AC28F084"/>
    <w:lvl w:ilvl="0" w:tplc="8EBC697E">
      <w:start w:val="1"/>
      <w:numFmt w:val="lowerLetter"/>
      <w:lvlText w:val="%1."/>
      <w:lvlJc w:val="left"/>
      <w:pPr>
        <w:ind w:left="162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5AF952CD"/>
    <w:multiLevelType w:val="hybridMultilevel"/>
    <w:tmpl w:val="AA9A515E"/>
    <w:lvl w:ilvl="0" w:tplc="D97CF6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60D4A"/>
    <w:multiLevelType w:val="multilevel"/>
    <w:tmpl w:val="FDA66CB4"/>
    <w:lvl w:ilvl="0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10E32B2"/>
    <w:multiLevelType w:val="hybridMultilevel"/>
    <w:tmpl w:val="5DB8E254"/>
    <w:lvl w:ilvl="0" w:tplc="120215B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9399C"/>
    <w:multiLevelType w:val="hybridMultilevel"/>
    <w:tmpl w:val="CB8C4064"/>
    <w:lvl w:ilvl="0" w:tplc="945CF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0017E"/>
    <w:multiLevelType w:val="hybridMultilevel"/>
    <w:tmpl w:val="21F658F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A2D19"/>
    <w:multiLevelType w:val="hybridMultilevel"/>
    <w:tmpl w:val="BA3E7DFE"/>
    <w:lvl w:ilvl="0" w:tplc="FFF26A98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3603E"/>
    <w:multiLevelType w:val="hybridMultilevel"/>
    <w:tmpl w:val="C20E49DE"/>
    <w:lvl w:ilvl="0" w:tplc="5470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8"/>
  </w:num>
  <w:num w:numId="8">
    <w:abstractNumId w:val="11"/>
  </w:num>
  <w:num w:numId="9">
    <w:abstractNumId w:val="22"/>
  </w:num>
  <w:num w:numId="10">
    <w:abstractNumId w:val="4"/>
  </w:num>
  <w:num w:numId="11">
    <w:abstractNumId w:val="14"/>
  </w:num>
  <w:num w:numId="12">
    <w:abstractNumId w:val="9"/>
  </w:num>
  <w:num w:numId="13">
    <w:abstractNumId w:val="16"/>
  </w:num>
  <w:num w:numId="14">
    <w:abstractNumId w:val="5"/>
  </w:num>
  <w:num w:numId="15">
    <w:abstractNumId w:val="21"/>
  </w:num>
  <w:num w:numId="16">
    <w:abstractNumId w:val="0"/>
  </w:num>
  <w:num w:numId="17">
    <w:abstractNumId w:val="18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3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5478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BC7"/>
    <w:rsid w:val="00077D4B"/>
    <w:rsid w:val="0008022E"/>
    <w:rsid w:val="00080FD1"/>
    <w:rsid w:val="000813BE"/>
    <w:rsid w:val="00081BCF"/>
    <w:rsid w:val="000846DF"/>
    <w:rsid w:val="00084FDD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560"/>
    <w:rsid w:val="002E2751"/>
    <w:rsid w:val="002E49F2"/>
    <w:rsid w:val="002E5A2A"/>
    <w:rsid w:val="002F03FC"/>
    <w:rsid w:val="002F05FD"/>
    <w:rsid w:val="002F1374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87ECD"/>
    <w:rsid w:val="00391FB9"/>
    <w:rsid w:val="003921B6"/>
    <w:rsid w:val="00392B56"/>
    <w:rsid w:val="00394733"/>
    <w:rsid w:val="00395647"/>
    <w:rsid w:val="00396AAA"/>
    <w:rsid w:val="003A34C0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5CA8"/>
    <w:rsid w:val="00436940"/>
    <w:rsid w:val="00436F0E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319C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481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5F6A"/>
    <w:rsid w:val="00E909DA"/>
    <w:rsid w:val="00E9331A"/>
    <w:rsid w:val="00E96B6D"/>
    <w:rsid w:val="00E97E4C"/>
    <w:rsid w:val="00E97F75"/>
    <w:rsid w:val="00EA5044"/>
    <w:rsid w:val="00EA7D5B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2D2D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27A"/>
    <w:rsid w:val="00FE3EF9"/>
    <w:rsid w:val="00FE781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41">
    <w:name w:val="Título 41"/>
    <w:basedOn w:val="Normal"/>
    <w:next w:val="Normal"/>
    <w:unhideWhenUsed/>
    <w:qFormat/>
    <w:rsid w:val="002E2560"/>
    <w:pPr>
      <w:tabs>
        <w:tab w:val="num" w:pos="2880"/>
      </w:tabs>
      <w:spacing w:line="276" w:lineRule="auto"/>
      <w:ind w:left="2880" w:hanging="360"/>
      <w:outlineLvl w:val="3"/>
    </w:pPr>
    <w:rPr>
      <w:rFonts w:ascii="Calibri Light" w:hAnsi="Calibri Light"/>
      <w:color w:val="2E74B5"/>
      <w:sz w:val="22"/>
      <w:szCs w:val="22"/>
      <w:lang w:eastAsia="en-US"/>
    </w:rPr>
  </w:style>
  <w:style w:type="paragraph" w:customStyle="1" w:styleId="Ttulo71">
    <w:name w:val="Título 71"/>
    <w:basedOn w:val="Normal"/>
    <w:next w:val="Normal"/>
    <w:unhideWhenUsed/>
    <w:qFormat/>
    <w:rsid w:val="002E2560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2E2560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2E2560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uiPriority w:val="39"/>
    <w:rsid w:val="002E256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B6D6-2ACD-4910-8E0E-4D2EBC28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2</cp:revision>
  <cp:lastPrinted>2018-02-07T17:08:00Z</cp:lastPrinted>
  <dcterms:created xsi:type="dcterms:W3CDTF">2018-02-07T19:48:00Z</dcterms:created>
  <dcterms:modified xsi:type="dcterms:W3CDTF">2018-02-07T19:48:00Z</dcterms:modified>
</cp:coreProperties>
</file>