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3F0538">
        <w:rPr>
          <w:rFonts w:ascii="Arial" w:hAnsi="Arial" w:cs="Arial"/>
          <w:b/>
          <w:bCs/>
          <w:iCs/>
          <w:sz w:val="26"/>
          <w:szCs w:val="22"/>
          <w:lang w:val="es-CR"/>
        </w:rPr>
        <w:t>910</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3F0538" w:rsidRPr="003F0538" w:rsidRDefault="00190010" w:rsidP="00337455">
            <w:pPr>
              <w:jc w:val="both"/>
              <w:rPr>
                <w:rFonts w:ascii="Arial" w:eastAsia="Cambria" w:hAnsi="Arial" w:cs="Arial"/>
                <w:sz w:val="22"/>
                <w:szCs w:val="22"/>
                <w:lang w:val="es-ES_tradnl" w:eastAsia="en-US"/>
              </w:rPr>
            </w:pPr>
            <w:r w:rsidRPr="003F053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p>
          <w:p w:rsidR="003F0538" w:rsidRDefault="003F0538" w:rsidP="003F0538">
            <w:pPr>
              <w:ind w:left="45"/>
              <w:jc w:val="both"/>
              <w:rPr>
                <w:rFonts w:ascii="Arial" w:eastAsia="Cambria" w:hAnsi="Arial" w:cs="Arial"/>
                <w:sz w:val="22"/>
                <w:szCs w:val="22"/>
                <w:lang w:val="es-ES_tradnl" w:eastAsia="en-US"/>
              </w:rPr>
            </w:pPr>
            <w:proofErr w:type="spellStart"/>
            <w:r w:rsidRPr="003B5F32">
              <w:rPr>
                <w:rFonts w:ascii="Arial" w:eastAsia="Cambria" w:hAnsi="Arial" w:cs="Arial"/>
                <w:sz w:val="22"/>
                <w:szCs w:val="22"/>
                <w:lang w:val="es-ES_tradnl" w:eastAsia="en-US"/>
              </w:rPr>
              <w:t>MSc</w:t>
            </w:r>
            <w:proofErr w:type="spellEnd"/>
            <w:r w:rsidRPr="003B5F32">
              <w:rPr>
                <w:rFonts w:ascii="Arial" w:eastAsia="Cambria" w:hAnsi="Arial" w:cs="Arial"/>
                <w:sz w:val="22"/>
                <w:szCs w:val="22"/>
                <w:lang w:val="es-ES_tradnl" w:eastAsia="en-US"/>
              </w:rPr>
              <w:t>. Ana Rosa Ruiz, Coordinadora</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Comisi</w:t>
            </w:r>
            <w:r>
              <w:rPr>
                <w:rFonts w:ascii="Arial" w:eastAsia="Cambria" w:hAnsi="Arial" w:cs="Arial"/>
                <w:sz w:val="22"/>
                <w:szCs w:val="22"/>
                <w:lang w:val="es-CR" w:eastAsia="en-US"/>
              </w:rPr>
              <w:t>ó</w:t>
            </w:r>
            <w:proofErr w:type="spellEnd"/>
            <w:r>
              <w:rPr>
                <w:rFonts w:ascii="Arial" w:eastAsia="Cambria" w:hAnsi="Arial" w:cs="Arial"/>
                <w:sz w:val="22"/>
                <w:szCs w:val="22"/>
                <w:lang w:val="es-ES_tradnl" w:eastAsia="en-US"/>
              </w:rPr>
              <w:t>n Especial para que elabore la propuesta para lograr mayores niveles de equidad e igualdad en el ITCR</w:t>
            </w:r>
            <w:r w:rsidRPr="003B5F32">
              <w:rPr>
                <w:rFonts w:ascii="Arial" w:eastAsia="Cambria" w:hAnsi="Arial" w:cs="Arial"/>
                <w:sz w:val="22"/>
                <w:szCs w:val="22"/>
                <w:lang w:val="es-ES_tradnl" w:eastAsia="en-US"/>
              </w:rPr>
              <w:t xml:space="preserve"> </w:t>
            </w:r>
          </w:p>
          <w:p w:rsidR="003F0538" w:rsidRPr="003B5F32" w:rsidRDefault="003F0538" w:rsidP="003F053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M.D. Laura Sancho</w:t>
            </w:r>
            <w:r w:rsidRPr="003B5F32">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 xml:space="preserve">a </w:t>
            </w:r>
            <w:proofErr w:type="spellStart"/>
            <w:r>
              <w:rPr>
                <w:rFonts w:ascii="Arial" w:eastAsia="Cambria" w:hAnsi="Arial" w:cs="Arial"/>
                <w:sz w:val="22"/>
                <w:szCs w:val="22"/>
                <w:lang w:val="es-ES_tradnl" w:eastAsia="en-US"/>
              </w:rPr>
              <w:t>a.i.</w:t>
            </w:r>
            <w:proofErr w:type="spellEnd"/>
            <w:r w:rsidRPr="003B5F32">
              <w:rPr>
                <w:rFonts w:ascii="Arial" w:eastAsia="Cambria" w:hAnsi="Arial" w:cs="Arial"/>
                <w:sz w:val="22"/>
                <w:szCs w:val="22"/>
                <w:lang w:val="es-ES_tradnl" w:eastAsia="en-US"/>
              </w:rPr>
              <w:t xml:space="preserve"> de Docencia</w:t>
            </w:r>
          </w:p>
          <w:p w:rsidR="003F0538" w:rsidRPr="003B5F32" w:rsidRDefault="003F0538" w:rsidP="003F0538">
            <w:pPr>
              <w:ind w:left="45"/>
              <w:jc w:val="both"/>
              <w:rPr>
                <w:rFonts w:ascii="Arial" w:eastAsia="Cambria" w:hAnsi="Arial" w:cs="Arial"/>
                <w:sz w:val="22"/>
                <w:szCs w:val="22"/>
                <w:lang w:val="es-ES_tradnl" w:eastAsia="en-US"/>
              </w:rPr>
            </w:pPr>
            <w:r w:rsidRPr="003B5F32">
              <w:rPr>
                <w:rFonts w:ascii="Arial" w:eastAsia="Cambria" w:hAnsi="Arial" w:cs="Arial"/>
                <w:sz w:val="22"/>
                <w:szCs w:val="22"/>
                <w:lang w:val="es-ES_tradnl" w:eastAsia="en-US"/>
              </w:rPr>
              <w:t>Dra. Paola Vega, Vicerrectora de Investigación y Extensión</w:t>
            </w:r>
          </w:p>
          <w:p w:rsidR="003F0538" w:rsidRPr="003B5F32" w:rsidRDefault="003F0538" w:rsidP="003F0538">
            <w:pPr>
              <w:ind w:left="45"/>
              <w:jc w:val="both"/>
              <w:rPr>
                <w:rFonts w:ascii="Arial" w:eastAsia="Cambria" w:hAnsi="Arial" w:cs="Arial"/>
                <w:sz w:val="22"/>
                <w:szCs w:val="22"/>
                <w:lang w:val="es-ES_tradnl" w:eastAsia="en-US"/>
              </w:rPr>
            </w:pPr>
            <w:r w:rsidRPr="003B5F32">
              <w:rPr>
                <w:rFonts w:ascii="Arial" w:eastAsia="Cambria" w:hAnsi="Arial" w:cs="Arial"/>
                <w:sz w:val="22"/>
                <w:szCs w:val="22"/>
                <w:lang w:val="es-ES_tradnl" w:eastAsia="en-US"/>
              </w:rPr>
              <w:t>Dra. Claudia Madrizova, Vicerrectora de Vida Estudiantil y Servicios Académicos</w:t>
            </w:r>
          </w:p>
          <w:p w:rsidR="003F0538" w:rsidRPr="003B5F32" w:rsidRDefault="003F0538" w:rsidP="003F0538">
            <w:pPr>
              <w:ind w:left="45"/>
              <w:jc w:val="both"/>
              <w:rPr>
                <w:rFonts w:ascii="Arial" w:eastAsia="Cambria" w:hAnsi="Arial" w:cs="Arial"/>
                <w:sz w:val="22"/>
                <w:szCs w:val="22"/>
                <w:lang w:val="es-ES_tradnl" w:eastAsia="en-US"/>
              </w:rPr>
            </w:pPr>
            <w:r w:rsidRPr="003B5F32">
              <w:rPr>
                <w:rFonts w:ascii="Arial" w:eastAsia="Cambria" w:hAnsi="Arial" w:cs="Arial"/>
                <w:sz w:val="22"/>
                <w:szCs w:val="22"/>
                <w:lang w:val="es-ES_tradnl" w:eastAsia="en-US"/>
              </w:rPr>
              <w:t>MBA. Harold Blanco, Director del Departamento de Recursos Humanos</w:t>
            </w:r>
          </w:p>
          <w:p w:rsidR="003F0538" w:rsidRDefault="003F0538" w:rsidP="003F0538">
            <w:pPr>
              <w:ind w:left="45"/>
              <w:jc w:val="both"/>
              <w:rPr>
                <w:rFonts w:ascii="Arial" w:eastAsia="Cambria" w:hAnsi="Arial" w:cs="Arial"/>
                <w:sz w:val="22"/>
                <w:szCs w:val="22"/>
                <w:lang w:val="es-ES_tradnl" w:eastAsia="en-US"/>
              </w:rPr>
            </w:pPr>
            <w:r w:rsidRPr="003B5F32">
              <w:rPr>
                <w:rFonts w:ascii="Arial" w:eastAsia="Cambria" w:hAnsi="Arial" w:cs="Arial"/>
                <w:sz w:val="22"/>
                <w:szCs w:val="22"/>
                <w:lang w:val="es-ES_tradnl" w:eastAsia="en-US"/>
              </w:rPr>
              <w:t>Sr.</w:t>
            </w:r>
            <w:r w:rsidR="002D170E">
              <w:rPr>
                <w:rFonts w:ascii="Arial" w:eastAsia="Cambria" w:hAnsi="Arial" w:cs="Arial"/>
                <w:sz w:val="22"/>
                <w:szCs w:val="22"/>
                <w:lang w:val="es-ES_tradnl" w:eastAsia="en-US"/>
              </w:rPr>
              <w:t xml:space="preserve"> Henry Alfaro</w:t>
            </w:r>
            <w:bookmarkStart w:id="0" w:name="_GoBack"/>
            <w:bookmarkEnd w:id="0"/>
            <w:r w:rsidRPr="003B5F32">
              <w:rPr>
                <w:rFonts w:ascii="Arial" w:eastAsia="Cambria" w:hAnsi="Arial" w:cs="Arial"/>
                <w:sz w:val="22"/>
                <w:szCs w:val="22"/>
                <w:lang w:val="es-ES_tradnl" w:eastAsia="en-US"/>
              </w:rPr>
              <w:t>, President</w:t>
            </w:r>
            <w:r>
              <w:rPr>
                <w:rFonts w:ascii="Arial" w:eastAsia="Cambria" w:hAnsi="Arial" w:cs="Arial"/>
                <w:sz w:val="22"/>
                <w:szCs w:val="22"/>
                <w:lang w:val="es-ES_tradnl" w:eastAsia="en-US"/>
              </w:rPr>
              <w:t>e</w:t>
            </w:r>
            <w:r w:rsidRPr="003B5F32">
              <w:rPr>
                <w:rFonts w:ascii="Arial" w:eastAsia="Cambria" w:hAnsi="Arial" w:cs="Arial"/>
                <w:sz w:val="22"/>
                <w:szCs w:val="22"/>
                <w:lang w:val="es-ES_tradnl" w:eastAsia="en-US"/>
              </w:rPr>
              <w:t xml:space="preserve"> de la Federación de Estudiantes del Tecnológico</w:t>
            </w:r>
          </w:p>
          <w:p w:rsidR="00302A99" w:rsidRPr="00302A99" w:rsidRDefault="00302A99" w:rsidP="009C5A69">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6B1D7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9C5A6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06</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dic</w:t>
            </w:r>
            <w:r w:rsidR="00841F61">
              <w:rPr>
                <w:rFonts w:ascii="Arial" w:eastAsia="Cambria" w:hAnsi="Arial" w:cs="Arial"/>
                <w:b/>
                <w:sz w:val="22"/>
                <w:szCs w:val="22"/>
                <w:lang w:val="es-ES_tradnl" w:eastAsia="en-US"/>
              </w:rPr>
              <w:t>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E5E1A" w:rsidRPr="00821E37" w:rsidRDefault="007742A1" w:rsidP="009C5A69">
            <w:pPr>
              <w:jc w:val="both"/>
              <w:rPr>
                <w:rFonts w:ascii="Arial" w:eastAsia="Cambria" w:hAnsi="Arial" w:cs="Arial"/>
                <w:b/>
                <w:bCs/>
                <w:sz w:val="22"/>
                <w:szCs w:val="22"/>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9C5A69">
              <w:rPr>
                <w:rFonts w:ascii="Arial" w:eastAsia="Calibri" w:hAnsi="Arial" w:cs="Arial"/>
                <w:b/>
                <w:sz w:val="22"/>
                <w:szCs w:val="22"/>
              </w:rPr>
              <w:t>50</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3F0538">
              <w:rPr>
                <w:rFonts w:ascii="Arial" w:eastAsia="Calibri" w:hAnsi="Arial" w:cs="Arial"/>
                <w:b/>
                <w:sz w:val="22"/>
                <w:szCs w:val="22"/>
              </w:rPr>
              <w:t>9</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9C5A69">
              <w:rPr>
                <w:rFonts w:ascii="Arial" w:eastAsia="Calibri" w:hAnsi="Arial" w:cs="Arial"/>
                <w:b/>
                <w:sz w:val="22"/>
                <w:szCs w:val="22"/>
              </w:rPr>
              <w:t>06</w:t>
            </w:r>
            <w:r w:rsidRPr="00267FAF">
              <w:rPr>
                <w:rFonts w:ascii="Arial" w:eastAsia="Calibri" w:hAnsi="Arial" w:cs="Arial"/>
                <w:b/>
                <w:sz w:val="22"/>
                <w:szCs w:val="22"/>
              </w:rPr>
              <w:t xml:space="preserve"> de </w:t>
            </w:r>
            <w:r w:rsidR="009C5A69">
              <w:rPr>
                <w:rFonts w:ascii="Arial" w:eastAsia="Calibri" w:hAnsi="Arial" w:cs="Arial"/>
                <w:b/>
                <w:sz w:val="22"/>
                <w:szCs w:val="22"/>
              </w:rPr>
              <w:t>dic</w:t>
            </w:r>
            <w:r w:rsidR="00841F61">
              <w:rPr>
                <w:rFonts w:ascii="Arial" w:eastAsia="Calibri" w:hAnsi="Arial" w:cs="Arial"/>
                <w:b/>
                <w:sz w:val="22"/>
                <w:szCs w:val="22"/>
              </w:rPr>
              <w:t>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821E37" w:rsidRPr="00821E37">
              <w:rPr>
                <w:rFonts w:ascii="Arial" w:eastAsia="Cambria" w:hAnsi="Arial" w:cs="Arial"/>
                <w:b/>
                <w:bCs/>
                <w:sz w:val="22"/>
                <w:szCs w:val="22"/>
                <w:lang w:val="es-CR" w:eastAsia="en-US"/>
              </w:rPr>
              <w:t>Solicitud de prórroga a Comisión Especial para que elabore la propuesta para lograr mayores niveles de equidad e igualdad en el ITCR, conformada en Sesión Ordinaria No. 2948, Artículo 7, del 18 de noviembre de 2015</w:t>
            </w:r>
          </w:p>
          <w:p w:rsidR="00821E37" w:rsidRDefault="00821E37" w:rsidP="009C5A69">
            <w:pPr>
              <w:jc w:val="both"/>
              <w:rPr>
                <w:rFonts w:ascii="Arial" w:eastAsia="Cambria" w:hAnsi="Arial" w:cs="Arial"/>
                <w:bCs/>
                <w:i/>
                <w:sz w:val="16"/>
                <w:szCs w:val="20"/>
                <w:lang w:val="es-CR" w:eastAsia="en-US"/>
              </w:rPr>
            </w:pPr>
          </w:p>
          <w:p w:rsidR="00821E37" w:rsidRPr="007F1052" w:rsidRDefault="00821E37" w:rsidP="009C5A69">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02A99" w:rsidRDefault="00302A99" w:rsidP="007742A1">
      <w:pPr>
        <w:jc w:val="both"/>
        <w:rPr>
          <w:rFonts w:ascii="Arial" w:eastAsia="Cambria" w:hAnsi="Arial" w:cs="Arial"/>
          <w:lang w:val="es-ES_tradnl" w:eastAsia="en-US"/>
        </w:rPr>
      </w:pPr>
    </w:p>
    <w:p w:rsidR="003F0538" w:rsidRPr="003F0538" w:rsidRDefault="003F0538" w:rsidP="003F0538">
      <w:pPr>
        <w:jc w:val="both"/>
        <w:rPr>
          <w:rFonts w:ascii="Arial" w:hAnsi="Arial" w:cs="Arial"/>
          <w:b/>
          <w:lang w:val="x-none"/>
        </w:rPr>
      </w:pPr>
      <w:r w:rsidRPr="003F0538">
        <w:rPr>
          <w:rFonts w:ascii="Arial" w:hAnsi="Arial" w:cs="Arial"/>
          <w:b/>
          <w:lang w:val="x-none"/>
        </w:rPr>
        <w:t>RESULTANDO QUE:</w:t>
      </w:r>
    </w:p>
    <w:p w:rsidR="003F0538" w:rsidRPr="003F0538" w:rsidRDefault="003F0538" w:rsidP="003F0538">
      <w:pPr>
        <w:jc w:val="both"/>
        <w:rPr>
          <w:rFonts w:ascii="Arial" w:hAnsi="Arial" w:cs="Arial"/>
          <w:b/>
          <w:lang w:val="x-none"/>
        </w:rPr>
      </w:pPr>
    </w:p>
    <w:p w:rsidR="003F0538" w:rsidRPr="003F0538" w:rsidRDefault="003F0538" w:rsidP="003F0538">
      <w:pPr>
        <w:numPr>
          <w:ilvl w:val="0"/>
          <w:numId w:val="2"/>
        </w:numPr>
        <w:tabs>
          <w:tab w:val="left" w:pos="426"/>
        </w:tabs>
        <w:ind w:left="426" w:right="-1" w:hanging="426"/>
        <w:contextualSpacing/>
        <w:jc w:val="both"/>
        <w:rPr>
          <w:rFonts w:ascii="Arial" w:eastAsia="Calibri" w:hAnsi="Arial" w:cs="Arial"/>
          <w:bCs/>
          <w:lang w:val="es-CR"/>
        </w:rPr>
      </w:pPr>
      <w:r w:rsidRPr="003F0538">
        <w:rPr>
          <w:rFonts w:ascii="Arial" w:eastAsia="Calibri" w:hAnsi="Arial" w:cs="Arial"/>
          <w:bCs/>
          <w:lang w:val="es-CR"/>
        </w:rPr>
        <w:t>El Estatuto Orgánico del ITCR, en el Artículo 18, inciso k, señala:</w:t>
      </w:r>
    </w:p>
    <w:p w:rsidR="003F0538" w:rsidRPr="003F0538" w:rsidRDefault="003F0538" w:rsidP="003F0538">
      <w:pPr>
        <w:ind w:left="284" w:right="-1"/>
        <w:contextualSpacing/>
        <w:jc w:val="both"/>
        <w:rPr>
          <w:rFonts w:ascii="Arial" w:eastAsia="Calibri" w:hAnsi="Arial" w:cs="Arial"/>
          <w:bCs/>
          <w:lang w:val="es-CR"/>
        </w:rPr>
      </w:pPr>
    </w:p>
    <w:p w:rsidR="003F0538" w:rsidRPr="003F0538" w:rsidRDefault="003F0538" w:rsidP="003F0538">
      <w:pPr>
        <w:ind w:left="426" w:right="-1"/>
        <w:contextualSpacing/>
        <w:jc w:val="both"/>
        <w:rPr>
          <w:rFonts w:ascii="Arial" w:eastAsia="Calibri" w:hAnsi="Arial" w:cs="Arial"/>
          <w:bCs/>
          <w:i/>
          <w:szCs w:val="22"/>
          <w:lang w:val="es-CR"/>
        </w:rPr>
      </w:pPr>
      <w:r w:rsidRPr="003F0538">
        <w:rPr>
          <w:rFonts w:ascii="Arial" w:eastAsia="Calibri" w:hAnsi="Arial" w:cs="Arial"/>
          <w:bCs/>
          <w:i/>
          <w:szCs w:val="22"/>
          <w:lang w:val="es-CR"/>
        </w:rPr>
        <w:t>“Son funciones del Consejo Institucional:</w:t>
      </w:r>
    </w:p>
    <w:p w:rsidR="003F0538" w:rsidRPr="003F0538" w:rsidRDefault="003F0538" w:rsidP="003F0538">
      <w:pPr>
        <w:ind w:left="426" w:right="-1"/>
        <w:contextualSpacing/>
        <w:jc w:val="both"/>
        <w:rPr>
          <w:rFonts w:ascii="Arial" w:eastAsia="Calibri" w:hAnsi="Arial" w:cs="Arial"/>
          <w:bCs/>
          <w:i/>
          <w:szCs w:val="22"/>
          <w:lang w:val="es-CR"/>
        </w:rPr>
      </w:pPr>
      <w:r w:rsidRPr="003F0538">
        <w:rPr>
          <w:rFonts w:ascii="Arial" w:eastAsia="Calibri" w:hAnsi="Arial" w:cs="Arial"/>
          <w:bCs/>
          <w:i/>
          <w:szCs w:val="22"/>
          <w:lang w:val="es-CR"/>
        </w:rPr>
        <w:t>…</w:t>
      </w:r>
    </w:p>
    <w:p w:rsidR="003F0538" w:rsidRPr="003F0538" w:rsidRDefault="003F0538" w:rsidP="003F0538">
      <w:pPr>
        <w:ind w:left="426" w:right="-1"/>
        <w:contextualSpacing/>
        <w:jc w:val="both"/>
        <w:rPr>
          <w:rFonts w:ascii="Arial" w:eastAsia="Calibri" w:hAnsi="Arial" w:cs="Arial"/>
          <w:bCs/>
          <w:i/>
          <w:szCs w:val="22"/>
          <w:lang w:val="es-CR"/>
        </w:rPr>
      </w:pPr>
      <w:r w:rsidRPr="003F0538">
        <w:rPr>
          <w:rFonts w:ascii="Arial" w:eastAsia="Calibri" w:hAnsi="Arial" w:cs="Arial"/>
          <w:bCs/>
          <w:i/>
          <w:szCs w:val="22"/>
          <w:lang w:val="es-CR"/>
        </w:rPr>
        <w:t xml:space="preserve"> k. Velar por el trato justo a todos los miembros de la comunidad del Instituto.</w:t>
      </w:r>
    </w:p>
    <w:p w:rsidR="003F0538" w:rsidRPr="003F0538" w:rsidRDefault="003F0538" w:rsidP="003F0538">
      <w:pPr>
        <w:ind w:left="426" w:right="-1"/>
        <w:contextualSpacing/>
        <w:jc w:val="both"/>
        <w:rPr>
          <w:rFonts w:ascii="Arial" w:eastAsia="Calibri" w:hAnsi="Arial" w:cs="Arial"/>
          <w:bCs/>
          <w:i/>
          <w:szCs w:val="22"/>
          <w:lang w:val="es-CR"/>
        </w:rPr>
      </w:pPr>
      <w:r w:rsidRPr="003F0538">
        <w:rPr>
          <w:rFonts w:ascii="Arial" w:eastAsia="Calibri" w:hAnsi="Arial" w:cs="Arial"/>
          <w:bCs/>
          <w:i/>
          <w:szCs w:val="22"/>
          <w:lang w:val="es-CR"/>
        </w:rPr>
        <w:t>…”</w:t>
      </w:r>
    </w:p>
    <w:p w:rsidR="003F0538" w:rsidRPr="003F0538" w:rsidRDefault="003F0538" w:rsidP="003F0538">
      <w:pPr>
        <w:jc w:val="both"/>
        <w:rPr>
          <w:rFonts w:ascii="Arial" w:hAnsi="Arial" w:cs="Arial"/>
          <w:i/>
          <w:sz w:val="22"/>
          <w:szCs w:val="22"/>
          <w:lang w:val="es-CR"/>
        </w:rPr>
      </w:pPr>
    </w:p>
    <w:p w:rsidR="003F0538" w:rsidRPr="003F0538" w:rsidRDefault="003F0538" w:rsidP="003F0538">
      <w:pPr>
        <w:numPr>
          <w:ilvl w:val="0"/>
          <w:numId w:val="2"/>
        </w:numPr>
        <w:tabs>
          <w:tab w:val="left" w:pos="426"/>
        </w:tabs>
        <w:ind w:left="426" w:right="-1" w:hanging="426"/>
        <w:contextualSpacing/>
        <w:jc w:val="both"/>
        <w:rPr>
          <w:rFonts w:ascii="Arial" w:eastAsia="Cambria" w:hAnsi="Arial" w:cs="Arial"/>
          <w:lang w:val="es-ES_tradnl" w:eastAsia="en-US"/>
        </w:rPr>
      </w:pPr>
      <w:r w:rsidRPr="003F0538">
        <w:rPr>
          <w:rFonts w:ascii="Arial" w:eastAsia="Cambria" w:hAnsi="Arial" w:cs="Arial"/>
          <w:lang w:val="es-ES_tradnl" w:eastAsia="en-US"/>
        </w:rPr>
        <w:t>El Reglamento del Consejo Institucional, en lo conducente señala:</w:t>
      </w:r>
    </w:p>
    <w:p w:rsidR="003F0538" w:rsidRPr="003F0538" w:rsidRDefault="003F0538" w:rsidP="003F0538">
      <w:pPr>
        <w:ind w:left="334"/>
        <w:jc w:val="both"/>
        <w:rPr>
          <w:rFonts w:ascii="Arial" w:eastAsia="Cambria" w:hAnsi="Arial" w:cs="Arial"/>
          <w:sz w:val="20"/>
          <w:szCs w:val="20"/>
          <w:lang w:val="es-ES_tradnl" w:eastAsia="en-US"/>
        </w:rPr>
      </w:pPr>
    </w:p>
    <w:p w:rsidR="003F0538" w:rsidRPr="003F0538" w:rsidRDefault="003F0538" w:rsidP="003F0538">
      <w:pPr>
        <w:ind w:left="993" w:right="1418"/>
        <w:jc w:val="both"/>
        <w:rPr>
          <w:rFonts w:ascii="Arial" w:eastAsia="Cambria" w:hAnsi="Arial" w:cs="Arial"/>
          <w:i/>
          <w:sz w:val="22"/>
          <w:szCs w:val="22"/>
          <w:lang w:val="es-ES_tradnl" w:eastAsia="en-US"/>
        </w:rPr>
      </w:pPr>
      <w:r w:rsidRPr="003F0538">
        <w:rPr>
          <w:rFonts w:ascii="Arial" w:eastAsia="Cambria" w:hAnsi="Arial" w:cs="Arial"/>
          <w:i/>
          <w:sz w:val="22"/>
          <w:szCs w:val="22"/>
          <w:lang w:val="es-ES_tradnl" w:eastAsia="en-US"/>
        </w:rPr>
        <w:t>“Artículo 24:</w:t>
      </w:r>
    </w:p>
    <w:p w:rsidR="003F0538" w:rsidRPr="003F0538" w:rsidRDefault="003F0538" w:rsidP="003F0538">
      <w:pPr>
        <w:ind w:left="993" w:right="1418"/>
        <w:jc w:val="both"/>
        <w:rPr>
          <w:rFonts w:ascii="Arial" w:eastAsia="Cambria" w:hAnsi="Arial" w:cs="Arial"/>
          <w:i/>
          <w:sz w:val="22"/>
          <w:szCs w:val="22"/>
          <w:lang w:val="es-ES_tradnl" w:eastAsia="en-US"/>
        </w:rPr>
      </w:pPr>
      <w:r w:rsidRPr="003F0538">
        <w:rPr>
          <w:rFonts w:ascii="Arial" w:eastAsia="Cambria" w:hAnsi="Arial" w:cs="Arial"/>
          <w:i/>
          <w:sz w:val="22"/>
          <w:szCs w:val="22"/>
          <w:lang w:val="es-ES_tradnl" w:eastAsia="en-US"/>
        </w:rPr>
        <w:t>Para el estudio de asuntos especiales el Consejo puede constituir comisiones especiales, las cuales tienen carácter temporal, designando en el acto la persona que coordina y el plazo para entregar su dictamen. Además, el Consejo Institucional especificará las funciones.</w:t>
      </w:r>
    </w:p>
    <w:p w:rsidR="003F0538" w:rsidRPr="003F0538" w:rsidRDefault="003F0538" w:rsidP="003F0538">
      <w:pPr>
        <w:ind w:left="993" w:right="1418"/>
        <w:jc w:val="both"/>
        <w:rPr>
          <w:rFonts w:ascii="Arial" w:eastAsia="Cambria" w:hAnsi="Arial" w:cs="Arial"/>
          <w:i/>
          <w:sz w:val="22"/>
          <w:szCs w:val="22"/>
          <w:lang w:val="es-ES_tradnl" w:eastAsia="en-US"/>
        </w:rPr>
      </w:pPr>
    </w:p>
    <w:p w:rsidR="003F0538" w:rsidRPr="003F0538" w:rsidRDefault="003F0538" w:rsidP="003F0538">
      <w:pPr>
        <w:ind w:left="993" w:right="1418"/>
        <w:jc w:val="both"/>
        <w:rPr>
          <w:rFonts w:ascii="Arial" w:eastAsia="Cambria" w:hAnsi="Arial" w:cs="Arial"/>
          <w:i/>
          <w:sz w:val="22"/>
          <w:szCs w:val="22"/>
          <w:lang w:val="es-ES_tradnl" w:eastAsia="en-US"/>
        </w:rPr>
      </w:pPr>
      <w:r w:rsidRPr="003F0538">
        <w:rPr>
          <w:rFonts w:ascii="Arial" w:eastAsia="Cambria" w:hAnsi="Arial" w:cs="Arial"/>
          <w:i/>
          <w:sz w:val="22"/>
          <w:szCs w:val="22"/>
          <w:lang w:val="es-ES_tradnl" w:eastAsia="en-US"/>
        </w:rPr>
        <w:t xml:space="preserve">Artículo 25 </w:t>
      </w:r>
    </w:p>
    <w:p w:rsidR="003F0538" w:rsidRPr="003F0538" w:rsidRDefault="003F0538" w:rsidP="003F0538">
      <w:pPr>
        <w:ind w:left="993" w:right="1418"/>
        <w:jc w:val="both"/>
        <w:rPr>
          <w:rFonts w:ascii="Arial" w:eastAsia="Cambria" w:hAnsi="Arial" w:cs="Arial"/>
          <w:i/>
          <w:sz w:val="22"/>
          <w:szCs w:val="22"/>
          <w:lang w:val="es-ES_tradnl" w:eastAsia="en-US"/>
        </w:rPr>
      </w:pPr>
      <w:r w:rsidRPr="003F0538">
        <w:rPr>
          <w:rFonts w:ascii="Arial" w:eastAsia="Cambria" w:hAnsi="Arial" w:cs="Arial"/>
          <w:i/>
          <w:sz w:val="22"/>
          <w:szCs w:val="22"/>
          <w:lang w:val="es-ES_tradnl" w:eastAsia="en-US"/>
        </w:rPr>
        <w:t>Los miembros de las Comisiones Especiales serán juramentados por la Presidencia del Consejo Institucional. La Comisión Permanente respectiva se encargará de dar el debido seguimiento.</w:t>
      </w:r>
    </w:p>
    <w:p w:rsidR="003F0538" w:rsidRPr="003F0538" w:rsidRDefault="003F0538" w:rsidP="003F0538">
      <w:pPr>
        <w:ind w:left="993" w:right="1418"/>
        <w:jc w:val="both"/>
        <w:rPr>
          <w:rFonts w:ascii="Arial" w:eastAsia="Cambria" w:hAnsi="Arial" w:cs="Arial"/>
          <w:i/>
          <w:sz w:val="22"/>
          <w:szCs w:val="22"/>
          <w:lang w:val="es-ES_tradnl" w:eastAsia="en-US"/>
        </w:rPr>
      </w:pPr>
    </w:p>
    <w:p w:rsidR="003F0538" w:rsidRPr="003F0538" w:rsidRDefault="003F0538" w:rsidP="003F0538">
      <w:pPr>
        <w:ind w:left="993" w:right="1418"/>
        <w:jc w:val="both"/>
        <w:rPr>
          <w:rFonts w:ascii="Arial" w:hAnsi="Arial" w:cs="Arial"/>
          <w:i/>
          <w:sz w:val="20"/>
          <w:szCs w:val="20"/>
          <w:lang w:val="es-CR" w:eastAsia="es-CR"/>
        </w:rPr>
      </w:pPr>
      <w:r w:rsidRPr="003F0538">
        <w:rPr>
          <w:rFonts w:ascii="Arial" w:hAnsi="Arial" w:cs="Arial"/>
          <w:i/>
          <w:sz w:val="20"/>
          <w:szCs w:val="20"/>
          <w:lang w:val="es-CR" w:eastAsia="es-CR"/>
        </w:rPr>
        <w:t xml:space="preserve">Artículo 26 </w:t>
      </w:r>
    </w:p>
    <w:p w:rsidR="003F0538" w:rsidRPr="003F0538" w:rsidRDefault="003F0538" w:rsidP="003F0538">
      <w:pPr>
        <w:ind w:left="993" w:right="1418"/>
        <w:jc w:val="both"/>
        <w:rPr>
          <w:rFonts w:ascii="Arial" w:eastAsia="Cambria" w:hAnsi="Arial" w:cs="Arial"/>
          <w:b/>
          <w:i/>
          <w:sz w:val="20"/>
          <w:szCs w:val="20"/>
          <w:lang w:val="es-ES_tradnl" w:eastAsia="en-US"/>
        </w:rPr>
      </w:pPr>
      <w:r w:rsidRPr="003F0538">
        <w:rPr>
          <w:rFonts w:ascii="Arial" w:hAnsi="Arial" w:cs="Arial"/>
          <w:i/>
          <w:sz w:val="20"/>
          <w:szCs w:val="20"/>
          <w:lang w:val="es-CR" w:eastAsia="es-CR"/>
        </w:rPr>
        <w:t xml:space="preserve">Las personas que coordinan las Comisiones Especiales serán los responsables de presentar a la Comisión Permanente del Consejo Institucional a la que le fue asignada el asunto, el dictamen o proyecto </w:t>
      </w:r>
      <w:r w:rsidRPr="003F0538">
        <w:rPr>
          <w:rFonts w:ascii="Arial" w:hAnsi="Arial" w:cs="Arial"/>
          <w:i/>
          <w:sz w:val="20"/>
          <w:szCs w:val="20"/>
          <w:lang w:val="es-CR" w:eastAsia="es-CR"/>
        </w:rPr>
        <w:lastRenderedPageBreak/>
        <w:t xml:space="preserve">respectivo dentro del tiempo señalado por el Órgano. Sin embargo, antes del vencimiento del plazo la Comisión Permanente respectiva podrá ampliarlo hasta por un 50% del tiempo establecido, siempre y cuando medie justa causa. </w:t>
      </w:r>
      <w:r w:rsidRPr="003F0538">
        <w:rPr>
          <w:rFonts w:ascii="Arial" w:hAnsi="Arial" w:cs="Arial"/>
          <w:i/>
          <w:sz w:val="20"/>
          <w:szCs w:val="20"/>
          <w:lang w:val="es-CR" w:eastAsia="es-CR"/>
        </w:rPr>
        <w:br/>
      </w:r>
      <w:r w:rsidRPr="003F0538">
        <w:rPr>
          <w:rFonts w:ascii="Arial" w:hAnsi="Arial" w:cs="Arial"/>
          <w:i/>
          <w:sz w:val="20"/>
          <w:szCs w:val="20"/>
          <w:lang w:val="es-CR" w:eastAsia="es-CR"/>
        </w:rPr>
        <w:br/>
        <w:t xml:space="preserve">Si el plazo excede del 50%, original deberá de elevarse al Consejo Institucional. Las solicitudes de prórroga deben remitirse en el respectivo formulario. </w:t>
      </w:r>
    </w:p>
    <w:p w:rsidR="003F0538" w:rsidRPr="003F0538" w:rsidRDefault="003F0538" w:rsidP="003F0538">
      <w:pPr>
        <w:ind w:left="993" w:right="1418"/>
        <w:jc w:val="both"/>
        <w:outlineLvl w:val="0"/>
        <w:rPr>
          <w:rFonts w:ascii="Arial" w:eastAsia="Cambria" w:hAnsi="Arial" w:cs="Arial"/>
          <w:b/>
          <w:i/>
          <w:sz w:val="22"/>
          <w:szCs w:val="22"/>
          <w:lang w:val="es-ES_tradnl" w:eastAsia="en-US"/>
        </w:rPr>
      </w:pPr>
    </w:p>
    <w:p w:rsidR="003F0538" w:rsidRPr="003F0538" w:rsidRDefault="003F0538" w:rsidP="003F0538">
      <w:pPr>
        <w:ind w:left="993" w:right="1418"/>
        <w:jc w:val="both"/>
        <w:rPr>
          <w:rFonts w:ascii="Arial" w:eastAsia="Cambria" w:hAnsi="Arial" w:cs="Arial"/>
          <w:i/>
          <w:sz w:val="22"/>
          <w:szCs w:val="22"/>
          <w:lang w:val="es-ES_tradnl" w:eastAsia="en-US"/>
        </w:rPr>
      </w:pPr>
      <w:r w:rsidRPr="003F0538">
        <w:rPr>
          <w:rFonts w:ascii="Arial" w:eastAsia="Cambria" w:hAnsi="Arial" w:cs="Arial"/>
          <w:i/>
          <w:sz w:val="22"/>
          <w:szCs w:val="22"/>
          <w:lang w:val="es-ES_tradnl" w:eastAsia="en-US"/>
        </w:rPr>
        <w:t xml:space="preserve">Artículo 28 </w:t>
      </w:r>
    </w:p>
    <w:p w:rsidR="003F0538" w:rsidRPr="003F0538" w:rsidRDefault="003F0538" w:rsidP="003F0538">
      <w:pPr>
        <w:ind w:left="993" w:right="1418"/>
        <w:jc w:val="both"/>
        <w:rPr>
          <w:rFonts w:ascii="Arial" w:eastAsia="Cambria" w:hAnsi="Arial" w:cs="Arial"/>
          <w:i/>
          <w:sz w:val="22"/>
          <w:szCs w:val="22"/>
          <w:lang w:val="es-ES_tradnl" w:eastAsia="en-US"/>
        </w:rPr>
      </w:pPr>
      <w:r w:rsidRPr="003F0538">
        <w:rPr>
          <w:rFonts w:ascii="Arial" w:eastAsia="Cambria" w:hAnsi="Arial" w:cs="Arial"/>
          <w:i/>
          <w:sz w:val="22"/>
          <w:szCs w:val="22"/>
          <w:lang w:val="es-ES_tradnl" w:eastAsia="en-US"/>
        </w:rPr>
        <w:t>Para un mejor funcionamiento y desarrollo del trabajo de las comisiones especiales, deberán elaborar una minuta de sus reuniones, rendir informes de avance a solicitud de las Comisiones Permanentes o de la Presidencia del Consejo Institucional y deberán presentar por escrito, un informe final de labores al cumplir el objetivo para el cual fueron creadas. En este informe debe reportarse también el porcentaje de asistencia de cada uno de sus integrantes”.</w:t>
      </w:r>
    </w:p>
    <w:p w:rsidR="003F0538" w:rsidRPr="003F0538" w:rsidRDefault="003F0538" w:rsidP="003F0538">
      <w:pPr>
        <w:ind w:right="1418"/>
        <w:jc w:val="both"/>
        <w:rPr>
          <w:rFonts w:ascii="Arial" w:eastAsia="Cambria" w:hAnsi="Arial" w:cs="Arial"/>
          <w:i/>
          <w:sz w:val="22"/>
          <w:szCs w:val="22"/>
          <w:lang w:val="es-ES_tradnl" w:eastAsia="en-US"/>
        </w:rPr>
      </w:pPr>
    </w:p>
    <w:p w:rsidR="003F0538" w:rsidRPr="003F0538" w:rsidRDefault="003F0538" w:rsidP="003F0538">
      <w:pPr>
        <w:numPr>
          <w:ilvl w:val="0"/>
          <w:numId w:val="2"/>
        </w:numPr>
        <w:tabs>
          <w:tab w:val="left" w:pos="426"/>
        </w:tabs>
        <w:ind w:left="426" w:right="-1" w:hanging="426"/>
        <w:contextualSpacing/>
        <w:jc w:val="both"/>
        <w:rPr>
          <w:rFonts w:ascii="Arial" w:eastAsia="Cambria" w:hAnsi="Arial" w:cs="Arial"/>
          <w:lang w:val="es-ES_tradnl" w:eastAsia="en-US"/>
        </w:rPr>
      </w:pPr>
      <w:r w:rsidRPr="003F0538">
        <w:rPr>
          <w:rFonts w:ascii="Arial" w:eastAsia="Cambria" w:hAnsi="Arial" w:cs="Arial"/>
          <w:lang w:val="es-ES_tradnl" w:eastAsia="en-US"/>
        </w:rPr>
        <w:t>En Sesión Ordinaria No. 2998, Artículo 7, del 16 de noviembre de 2016, acordó lo siguiente:</w:t>
      </w:r>
    </w:p>
    <w:p w:rsidR="003F0538" w:rsidRPr="003F0538" w:rsidRDefault="003F0538" w:rsidP="003F0538">
      <w:pPr>
        <w:tabs>
          <w:tab w:val="left" w:pos="426"/>
        </w:tabs>
        <w:ind w:left="426" w:right="-1"/>
        <w:contextualSpacing/>
        <w:jc w:val="both"/>
        <w:rPr>
          <w:rFonts w:ascii="Arial" w:eastAsia="Cambria" w:hAnsi="Arial" w:cs="Arial"/>
          <w:lang w:val="es-ES_tradnl" w:eastAsia="en-US"/>
        </w:rPr>
      </w:pPr>
      <w:r w:rsidRPr="003F0538">
        <w:rPr>
          <w:rFonts w:ascii="Arial" w:eastAsia="Cambria" w:hAnsi="Arial" w:cs="Arial"/>
          <w:lang w:val="es-ES_tradnl" w:eastAsia="en-US"/>
        </w:rPr>
        <w:t xml:space="preserve"> </w:t>
      </w:r>
    </w:p>
    <w:p w:rsidR="003F0538" w:rsidRPr="003F0538" w:rsidRDefault="003F0538" w:rsidP="003F0538">
      <w:pPr>
        <w:numPr>
          <w:ilvl w:val="0"/>
          <w:numId w:val="45"/>
        </w:numPr>
        <w:spacing w:after="200"/>
        <w:ind w:left="709" w:hanging="283"/>
        <w:jc w:val="both"/>
        <w:rPr>
          <w:rFonts w:ascii="Arial" w:eastAsiaTheme="minorHAnsi" w:hAnsi="Arial" w:cs="Arial"/>
          <w:i/>
          <w:sz w:val="22"/>
          <w:szCs w:val="22"/>
          <w:lang w:val="es-CR" w:eastAsia="en-US"/>
        </w:rPr>
      </w:pPr>
      <w:r w:rsidRPr="003F0538">
        <w:rPr>
          <w:rFonts w:ascii="Arial" w:eastAsiaTheme="minorHAnsi" w:hAnsi="Arial" w:cs="Arial"/>
          <w:i/>
          <w:sz w:val="22"/>
          <w:szCs w:val="22"/>
          <w:lang w:val="es-CR" w:eastAsia="en-US"/>
        </w:rPr>
        <w:t xml:space="preserve">“Conceder a la Comisión Especial encargada de elaborar la propuesta para lograr mayores niveles de equidad e igualdad en el ITCR, la prórroga solicitada al 09 de diciembre de 2017”. </w:t>
      </w:r>
    </w:p>
    <w:p w:rsidR="003F0538" w:rsidRPr="003F0538" w:rsidRDefault="003F0538" w:rsidP="003F0538">
      <w:pPr>
        <w:numPr>
          <w:ilvl w:val="0"/>
          <w:numId w:val="2"/>
        </w:numPr>
        <w:tabs>
          <w:tab w:val="left" w:pos="426"/>
        </w:tabs>
        <w:ind w:left="426" w:right="-1" w:hanging="426"/>
        <w:contextualSpacing/>
        <w:jc w:val="both"/>
        <w:rPr>
          <w:rFonts w:ascii="Arial" w:eastAsia="Cambria" w:hAnsi="Arial" w:cs="Arial"/>
          <w:lang w:val="es-ES_tradnl" w:eastAsia="en-US"/>
        </w:rPr>
      </w:pPr>
      <w:r w:rsidRPr="003F0538">
        <w:rPr>
          <w:rFonts w:ascii="Arial" w:eastAsia="Cambria" w:hAnsi="Arial" w:cs="Arial"/>
          <w:lang w:val="es-ES_tradnl" w:eastAsia="en-US"/>
        </w:rPr>
        <w:t xml:space="preserve">La Secretaría del Consejo Institucional recibe oficio CEI-011-2017, del 29 de noviembre de 2017, suscrito por la </w:t>
      </w:r>
      <w:proofErr w:type="spellStart"/>
      <w:r w:rsidRPr="003F0538">
        <w:rPr>
          <w:rFonts w:ascii="Arial" w:eastAsia="Cambria" w:hAnsi="Arial" w:cs="Arial"/>
          <w:lang w:val="es-ES_tradnl" w:eastAsia="en-US"/>
        </w:rPr>
        <w:t>MSc</w:t>
      </w:r>
      <w:proofErr w:type="spellEnd"/>
      <w:r w:rsidRPr="003F0538">
        <w:rPr>
          <w:rFonts w:ascii="Arial" w:eastAsia="Cambria" w:hAnsi="Arial" w:cs="Arial"/>
          <w:lang w:val="es-ES_tradnl" w:eastAsia="en-US"/>
        </w:rPr>
        <w:t>. Ana Rosa Ruiz, Coordinadora de la Oficina de Equidad de Género, dirigido al Dr. Gerardo Meza Cascante, Coordinador de la Comisión de Estatuto Orgánico, en el cual solicita ampliación de plazo a la Comisión Especial para que elabore la propuesta para lograr mayores niveles de equidad e igualdad en el ITCR, al 31 de diciembre de 2018, por las razones que se detallan a continuación:</w:t>
      </w:r>
    </w:p>
    <w:p w:rsidR="003F0538" w:rsidRPr="003F0538" w:rsidRDefault="003F0538" w:rsidP="003F0538">
      <w:pPr>
        <w:jc w:val="both"/>
        <w:rPr>
          <w:rFonts w:ascii="Arial Narrow" w:eastAsia="Cambria" w:hAnsi="Arial Narrow" w:cs="Arial"/>
          <w:sz w:val="26"/>
          <w:szCs w:val="26"/>
          <w:lang w:val="es-CR" w:eastAsia="en-US"/>
        </w:rPr>
      </w:pPr>
    </w:p>
    <w:p w:rsidR="003F0538" w:rsidRPr="003F0538" w:rsidRDefault="003F0538" w:rsidP="003F0538">
      <w:pPr>
        <w:ind w:left="426"/>
        <w:jc w:val="both"/>
        <w:rPr>
          <w:rFonts w:ascii="Arial" w:eastAsia="Cambria" w:hAnsi="Arial" w:cs="Arial"/>
          <w:i/>
          <w:sz w:val="20"/>
          <w:szCs w:val="20"/>
          <w:lang w:val="es-CR" w:eastAsia="en-US"/>
        </w:rPr>
      </w:pPr>
      <w:r w:rsidRPr="003F0538">
        <w:rPr>
          <w:rFonts w:ascii="Arial" w:eastAsia="Cambria" w:hAnsi="Arial" w:cs="Arial"/>
          <w:i/>
          <w:sz w:val="20"/>
          <w:szCs w:val="20"/>
          <w:lang w:val="es-CR" w:eastAsia="en-US"/>
        </w:rPr>
        <w:t>“El logro del objetivo de esta Comisión no ha sido posible cumplirlo, porque se consideró importante realizar consultas a diferentes a diferentes sectores.  En este año, se logró consultar la población con discapacidad, madres y padres e indígenas.  Para el próximo año, el plan sería tender los otros sectores: género, diversidad, afrodescendiente.  La consulta ha estado basada no solo con los y las usuarias sino con el personal que atiende esta población.</w:t>
      </w:r>
    </w:p>
    <w:p w:rsidR="003F0538" w:rsidRPr="003F0538" w:rsidRDefault="003F0538" w:rsidP="003F0538">
      <w:pPr>
        <w:jc w:val="both"/>
        <w:rPr>
          <w:rFonts w:ascii="Arial" w:eastAsia="Cambria" w:hAnsi="Arial" w:cs="Arial"/>
          <w:i/>
          <w:sz w:val="20"/>
          <w:szCs w:val="20"/>
          <w:lang w:val="es-CR" w:eastAsia="en-US"/>
        </w:rPr>
      </w:pPr>
    </w:p>
    <w:p w:rsidR="003F0538" w:rsidRPr="003F0538" w:rsidRDefault="003F0538" w:rsidP="003F0538">
      <w:pPr>
        <w:ind w:left="426"/>
        <w:jc w:val="both"/>
        <w:rPr>
          <w:rFonts w:ascii="Arial" w:eastAsia="Cambria" w:hAnsi="Arial" w:cs="Arial"/>
          <w:i/>
          <w:sz w:val="20"/>
          <w:szCs w:val="20"/>
          <w:lang w:val="es-CR" w:eastAsia="en-US"/>
        </w:rPr>
      </w:pPr>
      <w:r w:rsidRPr="003F0538">
        <w:rPr>
          <w:rFonts w:ascii="Arial" w:eastAsia="Cambria" w:hAnsi="Arial" w:cs="Arial"/>
          <w:i/>
          <w:sz w:val="20"/>
          <w:szCs w:val="20"/>
          <w:lang w:val="es-CR" w:eastAsia="en-US"/>
        </w:rPr>
        <w:t>Por esta razón, solicitamos se considere tres aspectos:</w:t>
      </w:r>
    </w:p>
    <w:p w:rsidR="003F0538" w:rsidRPr="003F0538" w:rsidRDefault="003F0538" w:rsidP="003F0538">
      <w:pPr>
        <w:jc w:val="both"/>
        <w:rPr>
          <w:rFonts w:ascii="Arial" w:eastAsia="Cambria" w:hAnsi="Arial" w:cs="Arial"/>
          <w:i/>
          <w:sz w:val="20"/>
          <w:szCs w:val="20"/>
          <w:lang w:val="es-CR" w:eastAsia="en-US"/>
        </w:rPr>
      </w:pPr>
    </w:p>
    <w:p w:rsidR="003F0538" w:rsidRPr="003F0538" w:rsidRDefault="003F0538" w:rsidP="003F0538">
      <w:pPr>
        <w:numPr>
          <w:ilvl w:val="0"/>
          <w:numId w:val="46"/>
        </w:numPr>
        <w:contextualSpacing/>
        <w:jc w:val="both"/>
        <w:rPr>
          <w:rFonts w:ascii="Arial" w:eastAsiaTheme="minorHAnsi" w:hAnsi="Arial" w:cs="Arial"/>
          <w:i/>
          <w:sz w:val="20"/>
          <w:szCs w:val="20"/>
          <w:lang w:val="es-CR"/>
        </w:rPr>
      </w:pPr>
      <w:r w:rsidRPr="003F0538">
        <w:rPr>
          <w:rFonts w:ascii="Arial" w:eastAsiaTheme="minorHAnsi" w:hAnsi="Arial" w:cs="Arial"/>
          <w:i/>
          <w:sz w:val="20"/>
          <w:szCs w:val="20"/>
          <w:lang w:val="es-CR"/>
        </w:rPr>
        <w:t>Ampliación del nombramiento de las personas integrantes de la Comisión hasta diciembre del 2018.</w:t>
      </w:r>
    </w:p>
    <w:p w:rsidR="003F0538" w:rsidRPr="003F0538" w:rsidRDefault="003F0538" w:rsidP="003F0538">
      <w:pPr>
        <w:numPr>
          <w:ilvl w:val="0"/>
          <w:numId w:val="46"/>
        </w:numPr>
        <w:contextualSpacing/>
        <w:jc w:val="both"/>
        <w:rPr>
          <w:rFonts w:ascii="Arial" w:eastAsiaTheme="minorHAnsi" w:hAnsi="Arial" w:cs="Arial"/>
          <w:i/>
          <w:sz w:val="20"/>
          <w:szCs w:val="20"/>
          <w:lang w:val="es-CR"/>
        </w:rPr>
      </w:pPr>
      <w:r w:rsidRPr="003F0538">
        <w:rPr>
          <w:rFonts w:ascii="Arial" w:eastAsiaTheme="minorHAnsi" w:hAnsi="Arial" w:cs="Arial"/>
          <w:i/>
          <w:sz w:val="20"/>
          <w:szCs w:val="20"/>
          <w:lang w:val="es-CR"/>
        </w:rPr>
        <w:t xml:space="preserve">La asignación de recargos para los dos docentes (Francisco Mojica y </w:t>
      </w:r>
      <w:proofErr w:type="gramStart"/>
      <w:r w:rsidRPr="003F0538">
        <w:rPr>
          <w:rFonts w:ascii="Arial" w:eastAsiaTheme="minorHAnsi" w:hAnsi="Arial" w:cs="Arial"/>
          <w:i/>
          <w:sz w:val="20"/>
          <w:szCs w:val="20"/>
          <w:lang w:val="es-CR"/>
        </w:rPr>
        <w:t>Donald  Granados</w:t>
      </w:r>
      <w:proofErr w:type="gramEnd"/>
      <w:r w:rsidRPr="003F0538">
        <w:rPr>
          <w:rFonts w:ascii="Arial" w:eastAsiaTheme="minorHAnsi" w:hAnsi="Arial" w:cs="Arial"/>
          <w:i/>
          <w:sz w:val="20"/>
          <w:szCs w:val="20"/>
          <w:lang w:val="es-CR"/>
        </w:rPr>
        <w:t>) y de las dos funcionarias administrativas (Katherine Palma y Ericka Masis).</w:t>
      </w:r>
    </w:p>
    <w:p w:rsidR="003F0538" w:rsidRPr="003F0538" w:rsidRDefault="003F0538" w:rsidP="003F0538">
      <w:pPr>
        <w:numPr>
          <w:ilvl w:val="0"/>
          <w:numId w:val="46"/>
        </w:numPr>
        <w:contextualSpacing/>
        <w:jc w:val="both"/>
        <w:rPr>
          <w:rFonts w:ascii="Arial" w:eastAsiaTheme="minorHAnsi" w:hAnsi="Arial" w:cs="Arial"/>
          <w:i/>
          <w:sz w:val="20"/>
          <w:szCs w:val="20"/>
          <w:lang w:val="es-CR"/>
        </w:rPr>
      </w:pPr>
      <w:r w:rsidRPr="003F0538">
        <w:rPr>
          <w:rFonts w:ascii="Arial" w:eastAsiaTheme="minorHAnsi" w:hAnsi="Arial" w:cs="Arial"/>
          <w:i/>
          <w:sz w:val="20"/>
          <w:szCs w:val="20"/>
          <w:lang w:val="es-CR"/>
        </w:rPr>
        <w:t>Una asignación de presupuesto igual al asignado en el 2017”.</w:t>
      </w:r>
    </w:p>
    <w:p w:rsidR="003F0538" w:rsidRPr="003F0538" w:rsidRDefault="003F0538" w:rsidP="003F0538">
      <w:pPr>
        <w:ind w:right="1418"/>
        <w:jc w:val="both"/>
        <w:rPr>
          <w:rFonts w:ascii="Arial" w:eastAsia="Cambria" w:hAnsi="Arial" w:cs="Arial"/>
          <w:i/>
          <w:sz w:val="22"/>
          <w:szCs w:val="22"/>
          <w:lang w:val="es-ES_tradnl" w:eastAsia="en-US"/>
        </w:rPr>
      </w:pPr>
    </w:p>
    <w:p w:rsidR="003F0538" w:rsidRPr="003F0538" w:rsidRDefault="003F0538" w:rsidP="003F0538">
      <w:pPr>
        <w:spacing w:after="200"/>
        <w:ind w:left="-142"/>
        <w:jc w:val="both"/>
        <w:rPr>
          <w:rFonts w:ascii="Arial" w:hAnsi="Arial" w:cs="Arial"/>
          <w:b/>
          <w:lang w:val="es-ES_tradnl" w:eastAsia="en-US"/>
        </w:rPr>
      </w:pPr>
      <w:r w:rsidRPr="003F0538">
        <w:rPr>
          <w:rFonts w:ascii="Arial" w:hAnsi="Arial" w:cs="Arial"/>
          <w:b/>
          <w:lang w:val="es-ES_tradnl" w:eastAsia="en-US"/>
        </w:rPr>
        <w:t>CONSIDERANDO QUE:</w:t>
      </w:r>
    </w:p>
    <w:p w:rsidR="003F0538" w:rsidRDefault="003F0538" w:rsidP="003F0538">
      <w:pPr>
        <w:numPr>
          <w:ilvl w:val="0"/>
          <w:numId w:val="44"/>
        </w:numPr>
        <w:tabs>
          <w:tab w:val="left" w:pos="426"/>
        </w:tabs>
        <w:ind w:left="426" w:right="-1" w:hanging="426"/>
        <w:contextualSpacing/>
        <w:jc w:val="both"/>
        <w:rPr>
          <w:rFonts w:ascii="Arial" w:eastAsia="Cambria" w:hAnsi="Arial" w:cs="Arial"/>
          <w:lang w:val="es-ES_tradnl" w:eastAsia="en-US"/>
        </w:rPr>
      </w:pPr>
      <w:r w:rsidRPr="003F0538">
        <w:rPr>
          <w:rFonts w:ascii="Arial" w:eastAsia="Cambria" w:hAnsi="Arial" w:cs="Arial"/>
          <w:lang w:val="es-ES_tradnl" w:eastAsia="en-US"/>
        </w:rPr>
        <w:t xml:space="preserve">La Comisión de Estatuto Orgánico, en reunión No. 276-2017 del 30 de noviembre de 2017, recibe la solicitud de prórroga al 31 de diciembre de </w:t>
      </w:r>
      <w:proofErr w:type="gramStart"/>
      <w:r w:rsidRPr="003F0538">
        <w:rPr>
          <w:rFonts w:ascii="Arial" w:eastAsia="Cambria" w:hAnsi="Arial" w:cs="Arial"/>
          <w:lang w:val="es-ES_tradnl" w:eastAsia="en-US"/>
        </w:rPr>
        <w:t>2018,  de</w:t>
      </w:r>
      <w:proofErr w:type="gramEnd"/>
      <w:r w:rsidRPr="003F0538">
        <w:rPr>
          <w:rFonts w:ascii="Arial" w:eastAsia="Cambria" w:hAnsi="Arial" w:cs="Arial"/>
          <w:lang w:val="es-ES_tradnl" w:eastAsia="en-US"/>
        </w:rPr>
        <w:t xml:space="preserve"> la Comisión Especial  para que elabore la propuesta para lograr mayores niveles de equidad e igualdad en el ITCR, por las razones expuestas en el Resultando 4; por lo que la Comisión dispone recomendar al pleno del Consejo Institucional que se otorgue la prórroga solicitada. </w:t>
      </w:r>
    </w:p>
    <w:p w:rsidR="003F0538" w:rsidRPr="003F0538" w:rsidRDefault="003F0538" w:rsidP="003F0538">
      <w:pPr>
        <w:tabs>
          <w:tab w:val="left" w:pos="426"/>
        </w:tabs>
        <w:ind w:right="-1"/>
        <w:contextualSpacing/>
        <w:jc w:val="both"/>
        <w:rPr>
          <w:rFonts w:ascii="Arial" w:eastAsia="Cambria" w:hAnsi="Arial" w:cs="Arial"/>
          <w:lang w:val="es-ES_tradnl" w:eastAsia="en-US"/>
        </w:rPr>
      </w:pPr>
    </w:p>
    <w:p w:rsidR="003F0538" w:rsidRPr="003F0538" w:rsidRDefault="003F0538" w:rsidP="003F0538">
      <w:pPr>
        <w:tabs>
          <w:tab w:val="left" w:pos="426"/>
        </w:tabs>
        <w:ind w:left="426" w:right="-1"/>
        <w:contextualSpacing/>
        <w:jc w:val="both"/>
        <w:rPr>
          <w:rFonts w:ascii="Arial" w:hAnsi="Arial" w:cs="Arial"/>
          <w:lang w:val="es-ES_tradnl" w:eastAsia="en-US"/>
        </w:rPr>
      </w:pPr>
    </w:p>
    <w:p w:rsidR="003F0538" w:rsidRPr="003F0538" w:rsidRDefault="003F0538" w:rsidP="003F0538">
      <w:pPr>
        <w:spacing w:after="200"/>
        <w:jc w:val="both"/>
        <w:rPr>
          <w:rFonts w:ascii="Arial" w:eastAsia="Calibri" w:hAnsi="Arial" w:cs="Arial"/>
          <w:lang w:val="es-CR"/>
        </w:rPr>
      </w:pPr>
      <w:r w:rsidRPr="003F0538">
        <w:rPr>
          <w:rFonts w:ascii="Arial" w:eastAsia="Calibri" w:hAnsi="Arial" w:cs="Arial"/>
          <w:b/>
          <w:lang w:val="es-CR"/>
        </w:rPr>
        <w:t>SE</w:t>
      </w:r>
      <w:r>
        <w:rPr>
          <w:rFonts w:ascii="Arial" w:eastAsia="Calibri" w:hAnsi="Arial" w:cs="Arial"/>
          <w:b/>
          <w:lang w:val="es-CR"/>
        </w:rPr>
        <w:t xml:space="preserve"> </w:t>
      </w:r>
      <w:proofErr w:type="gramStart"/>
      <w:r>
        <w:rPr>
          <w:rFonts w:ascii="Arial" w:eastAsia="Calibri" w:hAnsi="Arial" w:cs="Arial"/>
          <w:b/>
          <w:lang w:val="es-CR"/>
        </w:rPr>
        <w:t xml:space="preserve">ACUERDA </w:t>
      </w:r>
      <w:r w:rsidRPr="003F0538">
        <w:rPr>
          <w:rFonts w:ascii="Arial" w:eastAsia="Calibri" w:hAnsi="Arial" w:cs="Arial"/>
          <w:b/>
          <w:lang w:val="es-CR"/>
        </w:rPr>
        <w:t>:</w:t>
      </w:r>
      <w:proofErr w:type="gramEnd"/>
      <w:r w:rsidRPr="003F0538">
        <w:rPr>
          <w:rFonts w:ascii="Arial" w:eastAsia="Calibri" w:hAnsi="Arial" w:cs="Arial"/>
          <w:lang w:val="es-CR"/>
        </w:rPr>
        <w:t xml:space="preserve"> </w:t>
      </w:r>
    </w:p>
    <w:p w:rsidR="003F0538" w:rsidRPr="003F0538" w:rsidRDefault="003F0538" w:rsidP="003F0538">
      <w:pPr>
        <w:numPr>
          <w:ilvl w:val="0"/>
          <w:numId w:val="47"/>
        </w:numPr>
        <w:spacing w:after="200"/>
        <w:ind w:left="426" w:hanging="426"/>
        <w:jc w:val="both"/>
        <w:rPr>
          <w:rFonts w:ascii="Arial" w:eastAsiaTheme="minorHAnsi" w:hAnsi="Arial" w:cs="Arial"/>
          <w:lang w:val="es-CR"/>
        </w:rPr>
      </w:pPr>
      <w:r w:rsidRPr="003F0538">
        <w:rPr>
          <w:rFonts w:ascii="Arial" w:eastAsiaTheme="minorHAnsi" w:hAnsi="Arial" w:cs="Arial"/>
          <w:lang w:val="es-CR"/>
        </w:rPr>
        <w:t xml:space="preserve">Conceder a la Comisión Especial encargada de elaborar la propuesta para lograr mayores niveles de equidad e igualdad en el ITCR, la prórroga solicitada al 31 de diciembre de 2018. </w:t>
      </w:r>
    </w:p>
    <w:p w:rsidR="003F0538" w:rsidRPr="003F0538" w:rsidRDefault="003F0538" w:rsidP="003F0538">
      <w:pPr>
        <w:numPr>
          <w:ilvl w:val="0"/>
          <w:numId w:val="47"/>
        </w:numPr>
        <w:spacing w:after="200"/>
        <w:ind w:left="426" w:hanging="426"/>
        <w:jc w:val="both"/>
        <w:rPr>
          <w:rFonts w:ascii="Arial" w:eastAsiaTheme="minorHAnsi" w:hAnsi="Arial" w:cs="Arial"/>
          <w:lang w:val="es-CR"/>
        </w:rPr>
      </w:pPr>
      <w:r w:rsidRPr="003F0538">
        <w:rPr>
          <w:rFonts w:ascii="Arial" w:eastAsiaTheme="minorHAnsi" w:hAnsi="Arial" w:cs="Arial"/>
          <w:lang w:val="es-CR"/>
        </w:rPr>
        <w:t>Solicitar a la Comisión Especial encargada de elaborar la propuesta para lograr mayores niveles de equidad e igualdad en el ITCR, presentar un cronograma de trabajo para el 2018, el próximo 16 de febrero de 2018.</w:t>
      </w:r>
    </w:p>
    <w:p w:rsidR="003F0538" w:rsidRPr="003F0538" w:rsidRDefault="003F0538" w:rsidP="003F0538">
      <w:pPr>
        <w:ind w:left="1701" w:hanging="1843"/>
        <w:rPr>
          <w:rFonts w:ascii="Arial" w:eastAsia="Calibri" w:hAnsi="Arial" w:cs="Arial"/>
          <w:b/>
          <w:sz w:val="20"/>
          <w:szCs w:val="20"/>
          <w:lang w:val="es-ES_tradnl"/>
        </w:rPr>
      </w:pPr>
    </w:p>
    <w:p w:rsidR="00887FCC" w:rsidRDefault="002204D7" w:rsidP="003F0538">
      <w:pPr>
        <w:numPr>
          <w:ilvl w:val="0"/>
          <w:numId w:val="47"/>
        </w:numPr>
        <w:spacing w:after="200"/>
        <w:ind w:left="426" w:hanging="426"/>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F7EB0" w:rsidRDefault="004F7EB0" w:rsidP="00672D32">
      <w:pPr>
        <w:jc w:val="both"/>
        <w:rPr>
          <w:rFonts w:ascii="Arial" w:hAnsi="Arial" w:cs="Arial"/>
          <w:b/>
          <w:sz w:val="22"/>
          <w:szCs w:val="22"/>
          <w:lang w:val="es-CR"/>
        </w:rPr>
      </w:pPr>
    </w:p>
    <w:p w:rsidR="00302A99" w:rsidRDefault="00302A99" w:rsidP="00302A99">
      <w:pPr>
        <w:autoSpaceDE w:val="0"/>
        <w:autoSpaceDN w:val="0"/>
        <w:adjustRightInd w:val="0"/>
        <w:ind w:right="-91"/>
        <w:jc w:val="both"/>
        <w:rPr>
          <w:rFonts w:ascii="Arial" w:hAnsi="Arial" w:cs="Arial"/>
          <w:b/>
          <w:sz w:val="20"/>
          <w:szCs w:val="20"/>
          <w:lang w:val="es-CR"/>
        </w:rPr>
      </w:pPr>
    </w:p>
    <w:p w:rsidR="003F0538" w:rsidRPr="003F0538" w:rsidRDefault="003F0538" w:rsidP="003F0538">
      <w:pPr>
        <w:ind w:left="1701" w:hanging="1843"/>
        <w:rPr>
          <w:rFonts w:ascii="Arial" w:eastAsia="Calibri" w:hAnsi="Arial" w:cs="Arial"/>
          <w:b/>
          <w:sz w:val="20"/>
          <w:szCs w:val="20"/>
          <w:lang w:val="es-ES_tradnl"/>
        </w:rPr>
      </w:pPr>
      <w:r w:rsidRPr="003F0538">
        <w:rPr>
          <w:rFonts w:ascii="Arial" w:eastAsia="Calibri" w:hAnsi="Arial" w:cs="Arial"/>
          <w:b/>
          <w:sz w:val="20"/>
          <w:szCs w:val="20"/>
          <w:lang w:val="es-ES_tradnl"/>
        </w:rPr>
        <w:t xml:space="preserve">Palabras clave:  Prórroga – Comisión Especial – equidad – igualdad – ITCR  </w:t>
      </w:r>
    </w:p>
    <w:p w:rsidR="003F0538" w:rsidRPr="003F0538" w:rsidRDefault="003F0538" w:rsidP="003F0538">
      <w:pPr>
        <w:rPr>
          <w:rFonts w:ascii="Arial" w:eastAsia="Cambria" w:hAnsi="Arial" w:cs="Arial"/>
          <w:lang w:val="es-ES_tradnl" w:eastAsia="en-US"/>
        </w:rPr>
      </w:pPr>
    </w:p>
    <w:p w:rsidR="003F0538" w:rsidRPr="003F0538" w:rsidRDefault="003F0538" w:rsidP="003F0538">
      <w:pPr>
        <w:ind w:left="1701" w:hanging="1843"/>
        <w:rPr>
          <w:rFonts w:ascii="Arial" w:eastAsia="Cambria" w:hAnsi="Arial" w:cs="Arial"/>
          <w:lang w:val="es-ES_tradnl" w:eastAsia="en-US"/>
        </w:rPr>
      </w:pPr>
    </w:p>
    <w:p w:rsidR="003F0538" w:rsidRPr="003F0538" w:rsidRDefault="003F0538" w:rsidP="003F0538">
      <w:pPr>
        <w:jc w:val="both"/>
        <w:rPr>
          <w:rFonts w:ascii="Arial" w:hAnsi="Arial" w:cs="Arial"/>
          <w:b/>
          <w:lang w:val="es-ES_tradnl"/>
        </w:rPr>
      </w:pPr>
    </w:p>
    <w:p w:rsidR="004F7EB0" w:rsidRPr="003F0538" w:rsidRDefault="004F7EB0" w:rsidP="00672D32">
      <w:pPr>
        <w:jc w:val="both"/>
        <w:rPr>
          <w:rFonts w:ascii="Arial" w:hAnsi="Arial" w:cs="Arial"/>
          <w:b/>
          <w:sz w:val="22"/>
          <w:szCs w:val="22"/>
          <w:lang w:val="es-ES_tradnl"/>
        </w:rPr>
      </w:pPr>
    </w:p>
    <w:p w:rsidR="001A214B" w:rsidRDefault="001A214B" w:rsidP="00672D32">
      <w:pPr>
        <w:jc w:val="both"/>
        <w:rPr>
          <w:rFonts w:ascii="Arial" w:hAnsi="Arial" w:cs="Arial"/>
          <w:b/>
          <w:sz w:val="22"/>
          <w:szCs w:val="22"/>
          <w:lang w:val="es-CR"/>
        </w:rPr>
      </w:pPr>
    </w:p>
    <w:p w:rsidR="001A214B" w:rsidRPr="00887FCC" w:rsidRDefault="001A214B"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3538E7">
        <w:trPr>
          <w:trHeight w:val="183"/>
        </w:trPr>
        <w:tc>
          <w:tcPr>
            <w:tcW w:w="4361"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3F0538" w:rsidRDefault="003F0538"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3F0538" w:rsidRDefault="003F0538"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3F0538" w:rsidRDefault="003F0538"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3F0538" w:rsidRDefault="003F0538"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F41044" w:rsidRDefault="00F41044" w:rsidP="00821E37">
            <w:pPr>
              <w:ind w:left="-567" w:firstLine="567"/>
              <w:jc w:val="both"/>
              <w:rPr>
                <w:rFonts w:ascii="Arial" w:eastAsia="Cambria" w:hAnsi="Arial" w:cs="Arial"/>
                <w:b/>
                <w:sz w:val="16"/>
                <w:szCs w:val="16"/>
                <w:lang w:val="es-ES_tradnl"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D5" w:rsidRDefault="004945D5">
      <w:r>
        <w:separator/>
      </w:r>
    </w:p>
  </w:endnote>
  <w:endnote w:type="continuationSeparator" w:id="0">
    <w:p w:rsidR="004945D5" w:rsidRDefault="0049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D5" w:rsidRDefault="004945D5">
      <w:r>
        <w:separator/>
      </w:r>
    </w:p>
  </w:footnote>
  <w:footnote w:type="continuationSeparator" w:id="0">
    <w:p w:rsidR="004945D5" w:rsidRDefault="00494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50</w:t>
    </w:r>
    <w:r w:rsidRPr="00D958BC">
      <w:rPr>
        <w:rFonts w:ascii="Arial" w:eastAsia="Cambria" w:hAnsi="Arial" w:cs="Arial"/>
        <w:i/>
        <w:sz w:val="18"/>
        <w:szCs w:val="18"/>
        <w:lang w:val="es-ES_tradnl" w:eastAsia="x-none"/>
      </w:rPr>
      <w:t xml:space="preserve">, Artículo </w:t>
    </w:r>
    <w:r w:rsidR="003F0538">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F0538">
      <w:rPr>
        <w:rFonts w:ascii="Arial" w:eastAsia="Cambria" w:hAnsi="Arial" w:cs="Arial"/>
        <w:i/>
        <w:sz w:val="18"/>
        <w:szCs w:val="18"/>
        <w:lang w:val="es-ES_tradnl" w:eastAsia="x-none"/>
      </w:rPr>
      <w:t>06</w:t>
    </w:r>
    <w:r>
      <w:rPr>
        <w:rFonts w:ascii="Arial" w:eastAsia="Cambria" w:hAnsi="Arial" w:cs="Arial"/>
        <w:i/>
        <w:sz w:val="18"/>
        <w:szCs w:val="18"/>
        <w:lang w:val="es-ES_tradnl" w:eastAsia="x-none"/>
      </w:rPr>
      <w:t xml:space="preserve"> de </w:t>
    </w:r>
    <w:r w:rsidR="003F0538">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D170E">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8C"/>
    <w:multiLevelType w:val="hybridMultilevel"/>
    <w:tmpl w:val="125CDB0C"/>
    <w:lvl w:ilvl="0" w:tplc="D93A48C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0DF125D"/>
    <w:multiLevelType w:val="hybridMultilevel"/>
    <w:tmpl w:val="7BE6A2EA"/>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F97D00"/>
    <w:multiLevelType w:val="hybridMultilevel"/>
    <w:tmpl w:val="5C00EC6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4445BA9"/>
    <w:multiLevelType w:val="hybridMultilevel"/>
    <w:tmpl w:val="6E5409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7" w15:restartNumberingAfterBreak="0">
    <w:nsid w:val="0D2611D5"/>
    <w:multiLevelType w:val="hybridMultilevel"/>
    <w:tmpl w:val="9A4A8668"/>
    <w:lvl w:ilvl="0" w:tplc="420646E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BA4D48"/>
    <w:multiLevelType w:val="hybridMultilevel"/>
    <w:tmpl w:val="AA668D5E"/>
    <w:lvl w:ilvl="0" w:tplc="26B2FCE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153251C1"/>
    <w:multiLevelType w:val="hybridMultilevel"/>
    <w:tmpl w:val="1E782E7E"/>
    <w:lvl w:ilvl="0" w:tplc="140A000F">
      <w:start w:val="1"/>
      <w:numFmt w:val="decimal"/>
      <w:lvlText w:val="%1."/>
      <w:lvlJc w:val="left"/>
      <w:pPr>
        <w:ind w:left="1179" w:hanging="360"/>
      </w:pPr>
    </w:lvl>
    <w:lvl w:ilvl="1" w:tplc="140A0019" w:tentative="1">
      <w:start w:val="1"/>
      <w:numFmt w:val="lowerLetter"/>
      <w:lvlText w:val="%2."/>
      <w:lvlJc w:val="left"/>
      <w:pPr>
        <w:ind w:left="1899" w:hanging="360"/>
      </w:pPr>
    </w:lvl>
    <w:lvl w:ilvl="2" w:tplc="140A001B" w:tentative="1">
      <w:start w:val="1"/>
      <w:numFmt w:val="lowerRoman"/>
      <w:lvlText w:val="%3."/>
      <w:lvlJc w:val="right"/>
      <w:pPr>
        <w:ind w:left="2619" w:hanging="180"/>
      </w:pPr>
    </w:lvl>
    <w:lvl w:ilvl="3" w:tplc="140A000F" w:tentative="1">
      <w:start w:val="1"/>
      <w:numFmt w:val="decimal"/>
      <w:lvlText w:val="%4."/>
      <w:lvlJc w:val="left"/>
      <w:pPr>
        <w:ind w:left="3339" w:hanging="360"/>
      </w:pPr>
    </w:lvl>
    <w:lvl w:ilvl="4" w:tplc="140A0019" w:tentative="1">
      <w:start w:val="1"/>
      <w:numFmt w:val="lowerLetter"/>
      <w:lvlText w:val="%5."/>
      <w:lvlJc w:val="left"/>
      <w:pPr>
        <w:ind w:left="4059" w:hanging="360"/>
      </w:pPr>
    </w:lvl>
    <w:lvl w:ilvl="5" w:tplc="140A001B" w:tentative="1">
      <w:start w:val="1"/>
      <w:numFmt w:val="lowerRoman"/>
      <w:lvlText w:val="%6."/>
      <w:lvlJc w:val="right"/>
      <w:pPr>
        <w:ind w:left="4779" w:hanging="180"/>
      </w:pPr>
    </w:lvl>
    <w:lvl w:ilvl="6" w:tplc="140A000F" w:tentative="1">
      <w:start w:val="1"/>
      <w:numFmt w:val="decimal"/>
      <w:lvlText w:val="%7."/>
      <w:lvlJc w:val="left"/>
      <w:pPr>
        <w:ind w:left="5499" w:hanging="360"/>
      </w:pPr>
    </w:lvl>
    <w:lvl w:ilvl="7" w:tplc="140A0019" w:tentative="1">
      <w:start w:val="1"/>
      <w:numFmt w:val="lowerLetter"/>
      <w:lvlText w:val="%8."/>
      <w:lvlJc w:val="left"/>
      <w:pPr>
        <w:ind w:left="6219" w:hanging="360"/>
      </w:pPr>
    </w:lvl>
    <w:lvl w:ilvl="8" w:tplc="140A001B" w:tentative="1">
      <w:start w:val="1"/>
      <w:numFmt w:val="lowerRoman"/>
      <w:lvlText w:val="%9."/>
      <w:lvlJc w:val="right"/>
      <w:pPr>
        <w:ind w:left="6939" w:hanging="180"/>
      </w:pPr>
    </w:lvl>
  </w:abstractNum>
  <w:abstractNum w:abstractNumId="11"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97D7D5A"/>
    <w:multiLevelType w:val="hybridMultilevel"/>
    <w:tmpl w:val="EF32EDC4"/>
    <w:lvl w:ilvl="0" w:tplc="5164EF4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EFF586C"/>
    <w:multiLevelType w:val="hybridMultilevel"/>
    <w:tmpl w:val="787A61A0"/>
    <w:lvl w:ilvl="0" w:tplc="B9AEBE86">
      <w:start w:val="1"/>
      <w:numFmt w:val="lowerLetter"/>
      <w:lvlText w:val="%1."/>
      <w:lvlJc w:val="left"/>
      <w:pPr>
        <w:ind w:left="720" w:hanging="360"/>
      </w:pPr>
      <w:rPr>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25E1B80"/>
    <w:multiLevelType w:val="hybridMultilevel"/>
    <w:tmpl w:val="9C48EC0E"/>
    <w:lvl w:ilvl="0" w:tplc="97CA977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2B534BF"/>
    <w:multiLevelType w:val="hybridMultilevel"/>
    <w:tmpl w:val="CA187D80"/>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334F0FD9"/>
    <w:multiLevelType w:val="hybridMultilevel"/>
    <w:tmpl w:val="51E89BE4"/>
    <w:lvl w:ilvl="0" w:tplc="5E544B12">
      <w:start w:val="2"/>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4F96B3F"/>
    <w:multiLevelType w:val="hybridMultilevel"/>
    <w:tmpl w:val="EF0C601A"/>
    <w:lvl w:ilvl="0" w:tplc="A996931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AC71426"/>
    <w:multiLevelType w:val="hybridMultilevel"/>
    <w:tmpl w:val="C98ED1C0"/>
    <w:lvl w:ilvl="0" w:tplc="2F1821E2">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B6F5459"/>
    <w:multiLevelType w:val="hybridMultilevel"/>
    <w:tmpl w:val="459AB99A"/>
    <w:lvl w:ilvl="0" w:tplc="9A5058E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2810F9E"/>
    <w:multiLevelType w:val="hybridMultilevel"/>
    <w:tmpl w:val="BF84CE2C"/>
    <w:lvl w:ilvl="0" w:tplc="10003C78">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3CD5EC1"/>
    <w:multiLevelType w:val="hybridMultilevel"/>
    <w:tmpl w:val="048496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9580388"/>
    <w:multiLevelType w:val="hybridMultilevel"/>
    <w:tmpl w:val="191EEE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EAC6657"/>
    <w:multiLevelType w:val="hybridMultilevel"/>
    <w:tmpl w:val="CC9C28C6"/>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3"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1C23CC6"/>
    <w:multiLevelType w:val="hybridMultilevel"/>
    <w:tmpl w:val="DAF48600"/>
    <w:lvl w:ilvl="0" w:tplc="01800608">
      <w:start w:val="6"/>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6" w15:restartNumberingAfterBreak="0">
    <w:nsid w:val="58E34A1D"/>
    <w:multiLevelType w:val="hybridMultilevel"/>
    <w:tmpl w:val="CDB04DDC"/>
    <w:lvl w:ilvl="0" w:tplc="04A6C46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7"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9"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0" w15:restartNumberingAfterBreak="0">
    <w:nsid w:val="6BD523E5"/>
    <w:multiLevelType w:val="hybridMultilevel"/>
    <w:tmpl w:val="B5A039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11801EB"/>
    <w:multiLevelType w:val="hybridMultilevel"/>
    <w:tmpl w:val="89367C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D561769"/>
    <w:multiLevelType w:val="hybridMultilevel"/>
    <w:tmpl w:val="5C8E4650"/>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15:restartNumberingAfterBreak="0">
    <w:nsid w:val="7E7401A5"/>
    <w:multiLevelType w:val="hybridMultilevel"/>
    <w:tmpl w:val="BAEA5DBE"/>
    <w:lvl w:ilvl="0" w:tplc="CBDADDC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
  </w:num>
  <w:num w:numId="2">
    <w:abstractNumId w:val="21"/>
  </w:num>
  <w:num w:numId="3">
    <w:abstractNumId w:val="31"/>
  </w:num>
  <w:num w:numId="4">
    <w:abstractNumId w:val="2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3"/>
  </w:num>
  <w:num w:numId="9">
    <w:abstractNumId w:val="29"/>
  </w:num>
  <w:num w:numId="10">
    <w:abstractNumId w:val="39"/>
  </w:num>
  <w:num w:numId="11">
    <w:abstractNumId w:val="5"/>
  </w:num>
  <w:num w:numId="12">
    <w:abstractNumId w:val="18"/>
  </w:num>
  <w:num w:numId="13">
    <w:abstractNumId w:val="11"/>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3"/>
  </w:num>
  <w:num w:numId="17">
    <w:abstractNumId w:val="38"/>
  </w:num>
  <w:num w:numId="18">
    <w:abstractNumId w:val="37"/>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4"/>
  </w:num>
  <w:num w:numId="22">
    <w:abstractNumId w:val="1"/>
  </w:num>
  <w:num w:numId="23">
    <w:abstractNumId w:val="9"/>
  </w:num>
  <w:num w:numId="24">
    <w:abstractNumId w:val="24"/>
  </w:num>
  <w:num w:numId="25">
    <w:abstractNumId w:val="0"/>
  </w:num>
  <w:num w:numId="26">
    <w:abstractNumId w:val="12"/>
  </w:num>
  <w:num w:numId="27">
    <w:abstractNumId w:val="40"/>
  </w:num>
  <w:num w:numId="28">
    <w:abstractNumId w:val="30"/>
  </w:num>
  <w:num w:numId="29">
    <w:abstractNumId w:val="36"/>
  </w:num>
  <w:num w:numId="30">
    <w:abstractNumId w:val="2"/>
  </w:num>
  <w:num w:numId="31">
    <w:abstractNumId w:val="45"/>
  </w:num>
  <w:num w:numId="32">
    <w:abstractNumId w:val="32"/>
  </w:num>
  <w:num w:numId="33">
    <w:abstractNumId w:val="20"/>
  </w:num>
  <w:num w:numId="34">
    <w:abstractNumId w:val="27"/>
  </w:num>
  <w:num w:numId="35">
    <w:abstractNumId w:val="3"/>
  </w:num>
  <w:num w:numId="36">
    <w:abstractNumId w:val="19"/>
  </w:num>
  <w:num w:numId="37">
    <w:abstractNumId w:val="13"/>
  </w:num>
  <w:num w:numId="38">
    <w:abstractNumId w:val="15"/>
  </w:num>
  <w:num w:numId="39">
    <w:abstractNumId w:val="17"/>
  </w:num>
  <w:num w:numId="40">
    <w:abstractNumId w:val="34"/>
  </w:num>
  <w:num w:numId="41">
    <w:abstractNumId w:val="16"/>
  </w:num>
  <w:num w:numId="42">
    <w:abstractNumId w:val="7"/>
  </w:num>
  <w:num w:numId="43">
    <w:abstractNumId w:val="10"/>
  </w:num>
  <w:num w:numId="44">
    <w:abstractNumId w:val="23"/>
  </w:num>
  <w:num w:numId="45">
    <w:abstractNumId w:val="14"/>
  </w:num>
  <w:num w:numId="46">
    <w:abstractNumId w:val="41"/>
  </w:num>
  <w:num w:numId="4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A0A"/>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E4C"/>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AC3E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4B155-9115-4937-A994-61178F3F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3</Pages>
  <Words>903</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188</cp:revision>
  <cp:lastPrinted>2017-12-06T21:44:00Z</cp:lastPrinted>
  <dcterms:created xsi:type="dcterms:W3CDTF">2016-10-05T20:00:00Z</dcterms:created>
  <dcterms:modified xsi:type="dcterms:W3CDTF">2017-12-07T15:04:00Z</dcterms:modified>
</cp:coreProperties>
</file>