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10DC9">
        <w:rPr>
          <w:rFonts w:ascii="Arial" w:hAnsi="Arial" w:cs="Arial"/>
          <w:b/>
          <w:bCs/>
          <w:iCs/>
          <w:sz w:val="26"/>
          <w:szCs w:val="22"/>
          <w:lang w:val="es-CR"/>
        </w:rPr>
        <w:t>606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39478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710DC9" w:rsidRPr="00267FAF" w:rsidRDefault="00710DC9" w:rsidP="00710DC9">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Ing. Luis Paulino Méndez, Vicerrector de Docencia</w:t>
            </w:r>
          </w:p>
          <w:p w:rsidR="00710DC9" w:rsidRPr="00267FAF" w:rsidRDefault="00710DC9" w:rsidP="00710DC9">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Dra. Claudia Madrizova, Vicerrectora VIESA</w:t>
            </w:r>
          </w:p>
          <w:p w:rsidR="00710DC9" w:rsidRPr="00267FAF" w:rsidRDefault="00710DC9" w:rsidP="00710DC9">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 Humberto Villalta, Vicerrector de Administración</w:t>
            </w:r>
          </w:p>
          <w:p w:rsidR="00710DC9" w:rsidRPr="00267FAF" w:rsidRDefault="00710DC9" w:rsidP="00710DC9">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Dra. Paola Vega, Vicerrectora de Investigación y Extensión </w:t>
            </w:r>
          </w:p>
          <w:p w:rsidR="00710DC9" w:rsidRPr="00267FAF" w:rsidRDefault="00710DC9" w:rsidP="00710DC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267FAF">
              <w:rPr>
                <w:rFonts w:ascii="Arial" w:eastAsia="Cambria" w:hAnsi="Arial" w:cs="Arial"/>
                <w:sz w:val="22"/>
                <w:szCs w:val="22"/>
                <w:lang w:val="es-ES_tradnl" w:eastAsia="en-US"/>
              </w:rPr>
              <w:t>. Edgardo Vargas, Director Sede Regional San Carlos</w:t>
            </w:r>
          </w:p>
          <w:p w:rsidR="00710DC9" w:rsidRPr="00267FAF" w:rsidRDefault="00710DC9" w:rsidP="00710DC9">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Arq. Marlene Ilama, Directora Centro Académico de San José</w:t>
            </w:r>
          </w:p>
          <w:p w:rsidR="00710DC9" w:rsidRPr="00267FAF" w:rsidRDefault="00710DC9" w:rsidP="00710DC9">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 Roberto Pereira, Director Centro Académico de Alajuela</w:t>
            </w:r>
          </w:p>
          <w:p w:rsidR="00710DC9" w:rsidRPr="00267FAF" w:rsidRDefault="00710DC9" w:rsidP="00710DC9">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Máster Roxana Jiménez, Directora Centro Académico de Limón</w:t>
            </w:r>
          </w:p>
          <w:p w:rsidR="00710DC9" w:rsidRDefault="00710DC9" w:rsidP="00710DC9">
            <w:pPr>
              <w:jc w:val="both"/>
              <w:rPr>
                <w:rFonts w:ascii="Arial" w:eastAsia="Cambria" w:hAnsi="Arial" w:cs="Arial"/>
                <w:sz w:val="22"/>
                <w:szCs w:val="22"/>
                <w:lang w:val="es-ES_tradnl" w:eastAsia="en-US"/>
              </w:rPr>
            </w:pPr>
            <w:proofErr w:type="spellStart"/>
            <w:r w:rsidRPr="00267FAF">
              <w:rPr>
                <w:rFonts w:ascii="Arial" w:eastAsia="Cambria" w:hAnsi="Arial" w:cs="Arial"/>
                <w:sz w:val="22"/>
                <w:szCs w:val="22"/>
                <w:lang w:val="es-ES_tradnl" w:eastAsia="en-US"/>
              </w:rPr>
              <w:t>MAU</w:t>
            </w:r>
            <w:proofErr w:type="spellEnd"/>
            <w:r w:rsidRPr="00267FAF">
              <w:rPr>
                <w:rFonts w:ascii="Arial" w:eastAsia="Cambria" w:hAnsi="Arial" w:cs="Arial"/>
                <w:sz w:val="22"/>
                <w:szCs w:val="22"/>
                <w:lang w:val="es-ES_tradnl" w:eastAsia="en-US"/>
              </w:rPr>
              <w:t>. Tatiana Fernández, Directora Oficina de Planificación Institucional</w:t>
            </w:r>
          </w:p>
          <w:p w:rsidR="00710DC9" w:rsidRDefault="00710DC9" w:rsidP="00710DC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710DC9" w:rsidRPr="00267FAF" w:rsidRDefault="00710DC9" w:rsidP="00710DC9">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Luis Antonio Gómez, Coordinador Comisión de Autonomía Universitaria de la AIR</w:t>
            </w:r>
          </w:p>
          <w:p w:rsidR="000D6061" w:rsidRPr="002D6978" w:rsidRDefault="000D6061" w:rsidP="00710DC9">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B54B8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82435">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B54B80" w:rsidRDefault="007742A1" w:rsidP="00982435">
            <w:pPr>
              <w:ind w:left="67"/>
              <w:jc w:val="both"/>
              <w:rPr>
                <w:rFonts w:ascii="Arial" w:hAnsi="Arial" w:cs="Arial"/>
                <w:b/>
                <w:b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B54B80">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982435">
              <w:rPr>
                <w:rFonts w:ascii="Arial" w:eastAsia="Calibri" w:hAnsi="Arial" w:cs="Arial"/>
                <w:b/>
                <w:sz w:val="22"/>
                <w:szCs w:val="22"/>
              </w:rPr>
              <w:t>1</w:t>
            </w:r>
            <w:r w:rsidR="00710DC9">
              <w:rPr>
                <w:rFonts w:ascii="Arial" w:eastAsia="Calibri" w:hAnsi="Arial" w:cs="Arial"/>
                <w:b/>
                <w:sz w:val="22"/>
                <w:szCs w:val="22"/>
              </w:rPr>
              <w:t>4</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B54B80">
              <w:rPr>
                <w:rFonts w:ascii="Arial" w:eastAsia="Calibri" w:hAnsi="Arial" w:cs="Arial"/>
                <w:b/>
                <w:sz w:val="22"/>
                <w:szCs w:val="22"/>
              </w:rPr>
              <w:t>13</w:t>
            </w:r>
            <w:r w:rsidRPr="00267FAF">
              <w:rPr>
                <w:rFonts w:ascii="Arial" w:eastAsia="Calibri" w:hAnsi="Arial" w:cs="Arial"/>
                <w:b/>
                <w:sz w:val="22"/>
                <w:szCs w:val="22"/>
              </w:rPr>
              <w:t xml:space="preserve"> de </w:t>
            </w:r>
            <w:r w:rsidR="00982435">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w:t>
            </w:r>
            <w:r w:rsidR="00B54B80" w:rsidRPr="00B54B80">
              <w:rPr>
                <w:rFonts w:ascii="Arial" w:eastAsia="Calibri" w:hAnsi="Arial" w:cs="Arial"/>
                <w:bCs/>
                <w:i/>
                <w:iCs/>
                <w:sz w:val="16"/>
                <w:lang w:val="es-CR" w:eastAsia="en-US"/>
              </w:rPr>
              <w:t xml:space="preserve"> </w:t>
            </w:r>
            <w:r w:rsidR="00B54B80" w:rsidRPr="00B54B80">
              <w:rPr>
                <w:rFonts w:ascii="Arial" w:eastAsia="Calibri" w:hAnsi="Arial" w:cs="Arial"/>
                <w:b/>
                <w:bCs/>
                <w:iCs/>
                <w:sz w:val="22"/>
                <w:szCs w:val="22"/>
                <w:lang w:val="es-CR" w:eastAsia="en-US"/>
              </w:rPr>
              <w:t>Modificación del acuerdo de la Sesión Ordinaria No. 3032, Artículo 7, del 03 de agosto de 2017 “Procedimiento para la atención y emisión de criterio sobre las consultas de los Proyectos de Ley enviados por la Asamblea Legislativa al Instituto Tecnológico de Costa Rica”</w:t>
            </w:r>
            <w:r w:rsidR="001E08C0" w:rsidRPr="00B54B80">
              <w:rPr>
                <w:rFonts w:ascii="Arial" w:eastAsia="Calibri" w:hAnsi="Arial" w:cs="Arial"/>
                <w:b/>
                <w:sz w:val="22"/>
                <w:szCs w:val="22"/>
              </w:rPr>
              <w:t xml:space="preserve">  </w:t>
            </w:r>
          </w:p>
          <w:p w:rsidR="00982435" w:rsidRPr="00982435" w:rsidRDefault="00982435" w:rsidP="00982435">
            <w:pPr>
              <w:ind w:left="67"/>
              <w:jc w:val="both"/>
              <w:rPr>
                <w:rFonts w:ascii="Arial" w:hAnsi="Arial" w:cs="Arial"/>
                <w:b/>
                <w:bCs/>
                <w:sz w:val="22"/>
                <w:szCs w:val="22"/>
                <w:lang w:val="es-CR"/>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10DC9" w:rsidRDefault="00710DC9" w:rsidP="007742A1">
      <w:pPr>
        <w:jc w:val="both"/>
        <w:rPr>
          <w:rFonts w:ascii="Arial" w:eastAsia="Cambria" w:hAnsi="Arial" w:cs="Arial"/>
          <w:lang w:val="es-ES_tradnl" w:eastAsia="en-US"/>
        </w:rPr>
      </w:pPr>
    </w:p>
    <w:p w:rsidR="00710DC9" w:rsidRPr="00710DC9" w:rsidRDefault="00710DC9" w:rsidP="00710DC9">
      <w:pPr>
        <w:ind w:left="1440" w:hanging="1440"/>
        <w:jc w:val="both"/>
        <w:rPr>
          <w:rFonts w:ascii="Arial" w:eastAsia="Cambria" w:hAnsi="Arial" w:cs="Arial"/>
          <w:b/>
          <w:caps/>
          <w:color w:val="000000"/>
          <w:lang w:val="es-ES_tradnl" w:eastAsia="en-US"/>
        </w:rPr>
      </w:pPr>
      <w:r w:rsidRPr="00710DC9">
        <w:rPr>
          <w:rFonts w:ascii="Arial" w:eastAsia="Cambria" w:hAnsi="Arial" w:cs="Arial"/>
          <w:b/>
          <w:caps/>
          <w:color w:val="000000"/>
          <w:lang w:val="es-ES_tradnl" w:eastAsia="en-US"/>
        </w:rPr>
        <w:t xml:space="preserve">resultando que: </w:t>
      </w:r>
    </w:p>
    <w:p w:rsidR="00710DC9" w:rsidRPr="00710DC9" w:rsidRDefault="00710DC9" w:rsidP="00710DC9">
      <w:pPr>
        <w:ind w:left="1276" w:hanging="1276"/>
        <w:jc w:val="both"/>
        <w:rPr>
          <w:rFonts w:ascii="Arial" w:eastAsia="Cambria" w:hAnsi="Arial" w:cs="Arial"/>
          <w:b/>
          <w:color w:val="000000"/>
          <w:lang w:val="es-ES_tradnl" w:eastAsia="en-US"/>
        </w:rPr>
      </w:pPr>
    </w:p>
    <w:p w:rsidR="00710DC9" w:rsidRPr="00710DC9" w:rsidRDefault="00710DC9" w:rsidP="00710DC9">
      <w:pPr>
        <w:numPr>
          <w:ilvl w:val="0"/>
          <w:numId w:val="2"/>
        </w:numPr>
        <w:ind w:left="425" w:right="284" w:hanging="425"/>
        <w:jc w:val="both"/>
        <w:rPr>
          <w:rFonts w:ascii="Arial" w:hAnsi="Arial" w:cs="Arial"/>
          <w:color w:val="000000"/>
        </w:rPr>
      </w:pPr>
      <w:r w:rsidRPr="00710DC9">
        <w:rPr>
          <w:rFonts w:ascii="Arial" w:hAnsi="Arial" w:cs="Arial"/>
          <w:color w:val="000000"/>
        </w:rPr>
        <w:t>En la Sesión Ordinaria No. 3032, Artículo 7, del 03 de agosto de 2017, el Consejo Institucional aprobó el “Procedimiento</w:t>
      </w:r>
      <w:r w:rsidRPr="00710DC9">
        <w:rPr>
          <w:rFonts w:ascii="Arial" w:eastAsia="Calibri" w:hAnsi="Arial" w:cs="Arial"/>
          <w:b/>
          <w:color w:val="000000"/>
        </w:rPr>
        <w:t xml:space="preserve"> </w:t>
      </w:r>
      <w:r w:rsidRPr="00710DC9">
        <w:rPr>
          <w:rFonts w:ascii="Arial" w:eastAsia="Calibri" w:hAnsi="Arial" w:cs="Arial"/>
          <w:color w:val="000000"/>
        </w:rPr>
        <w:t>para la atención y emisión de criterio sobre las consultas de los Proyectos de Ley enviados por la Asamblea Legislativa al Instituto Tecnológico de Costa Rica”, estableciendo en el inciso a) lo siguiente:</w:t>
      </w:r>
    </w:p>
    <w:p w:rsidR="00710DC9" w:rsidRPr="00710DC9" w:rsidRDefault="00710DC9" w:rsidP="00710DC9">
      <w:pPr>
        <w:ind w:right="284"/>
        <w:jc w:val="both"/>
        <w:rPr>
          <w:rFonts w:ascii="Arial" w:hAnsi="Arial" w:cs="Arial"/>
          <w:color w:val="000000"/>
        </w:rPr>
      </w:pPr>
    </w:p>
    <w:p w:rsidR="00710DC9" w:rsidRPr="00710DC9" w:rsidRDefault="00710DC9" w:rsidP="00710DC9">
      <w:pPr>
        <w:ind w:left="709" w:right="850"/>
        <w:jc w:val="both"/>
        <w:rPr>
          <w:rFonts w:ascii="Arial" w:eastAsia="Cambria" w:hAnsi="Arial" w:cs="Arial"/>
          <w:i/>
          <w:color w:val="000000"/>
          <w:sz w:val="22"/>
          <w:szCs w:val="22"/>
          <w:lang w:val="es-ES_tradnl" w:eastAsia="en-US"/>
        </w:rPr>
      </w:pPr>
      <w:r w:rsidRPr="00710DC9">
        <w:rPr>
          <w:rFonts w:ascii="Arial" w:hAnsi="Arial" w:cs="Arial"/>
          <w:i/>
          <w:color w:val="000000"/>
          <w:sz w:val="22"/>
          <w:szCs w:val="22"/>
          <w:lang w:val="es-ES_tradnl" w:eastAsia="en-US"/>
        </w:rPr>
        <w:t xml:space="preserve"> “Conformar una Comisión, denominada “Comisión asesora para dictaminar proyectos de ley”, conformada de la siguiente manera:</w:t>
      </w:r>
    </w:p>
    <w:p w:rsidR="00710DC9" w:rsidRPr="00710DC9" w:rsidRDefault="00710DC9" w:rsidP="00710DC9">
      <w:pPr>
        <w:ind w:left="709" w:right="850"/>
        <w:rPr>
          <w:rFonts w:ascii="Arial" w:eastAsia="Calibri" w:hAnsi="Arial" w:cs="Arial"/>
          <w:i/>
          <w:color w:val="000000"/>
          <w:sz w:val="22"/>
          <w:szCs w:val="22"/>
          <w:lang w:val="es-CR"/>
        </w:rPr>
      </w:pPr>
    </w:p>
    <w:p w:rsidR="00710DC9" w:rsidRPr="00710DC9" w:rsidRDefault="00710DC9" w:rsidP="00710DC9">
      <w:pPr>
        <w:numPr>
          <w:ilvl w:val="0"/>
          <w:numId w:val="24"/>
        </w:numPr>
        <w:tabs>
          <w:tab w:val="left" w:pos="1701"/>
        </w:tabs>
        <w:ind w:left="1560" w:right="850" w:hanging="426"/>
        <w:jc w:val="both"/>
        <w:rPr>
          <w:rFonts w:ascii="Arial" w:eastAsia="Calibri" w:hAnsi="Arial" w:cs="Arial"/>
          <w:b/>
          <w:bCs/>
          <w:i/>
          <w:color w:val="000000"/>
          <w:sz w:val="22"/>
          <w:szCs w:val="22"/>
          <w:lang w:val="es-CR"/>
        </w:rPr>
      </w:pPr>
      <w:r w:rsidRPr="00710DC9">
        <w:rPr>
          <w:rFonts w:ascii="Arial" w:eastAsia="Calibri" w:hAnsi="Arial" w:cs="Arial"/>
          <w:i/>
          <w:color w:val="000000"/>
          <w:sz w:val="22"/>
          <w:szCs w:val="22"/>
          <w:lang w:val="es-CR" w:eastAsia="en-US"/>
        </w:rPr>
        <w:t>El Director(a</w:t>
      </w:r>
      <w:proofErr w:type="gramStart"/>
      <w:r w:rsidRPr="00710DC9">
        <w:rPr>
          <w:rFonts w:ascii="Arial" w:eastAsia="Calibri" w:hAnsi="Arial" w:cs="Arial"/>
          <w:i/>
          <w:color w:val="000000"/>
          <w:sz w:val="22"/>
          <w:szCs w:val="22"/>
          <w:lang w:val="es-CR" w:eastAsia="en-US"/>
        </w:rPr>
        <w:t>)  de</w:t>
      </w:r>
      <w:proofErr w:type="gramEnd"/>
      <w:r w:rsidRPr="00710DC9">
        <w:rPr>
          <w:rFonts w:ascii="Arial" w:eastAsia="Calibri" w:hAnsi="Arial" w:cs="Arial"/>
          <w:i/>
          <w:color w:val="000000"/>
          <w:sz w:val="22"/>
          <w:szCs w:val="22"/>
          <w:lang w:val="es-CR" w:eastAsia="en-US"/>
        </w:rPr>
        <w:t xml:space="preserve"> la Oficina de Asesoría Legal o su representante,  quien la coordinará.</w:t>
      </w:r>
    </w:p>
    <w:p w:rsidR="00710DC9" w:rsidRPr="00710DC9" w:rsidRDefault="00710DC9" w:rsidP="00710DC9">
      <w:pPr>
        <w:numPr>
          <w:ilvl w:val="0"/>
          <w:numId w:val="24"/>
        </w:numPr>
        <w:tabs>
          <w:tab w:val="left" w:pos="1701"/>
        </w:tabs>
        <w:ind w:left="1560" w:right="850" w:hanging="426"/>
        <w:jc w:val="both"/>
        <w:rPr>
          <w:rFonts w:ascii="Arial" w:eastAsia="Calibri" w:hAnsi="Arial" w:cs="Arial"/>
          <w:b/>
          <w:bCs/>
          <w:i/>
          <w:color w:val="000000"/>
          <w:sz w:val="22"/>
          <w:szCs w:val="22"/>
          <w:lang w:val="es-CR"/>
        </w:rPr>
      </w:pPr>
      <w:r w:rsidRPr="00710DC9">
        <w:rPr>
          <w:rFonts w:ascii="Arial" w:eastAsia="Calibri" w:hAnsi="Arial" w:cs="Arial"/>
          <w:i/>
          <w:color w:val="000000"/>
          <w:sz w:val="22"/>
          <w:szCs w:val="22"/>
          <w:lang w:val="es-CR" w:eastAsia="en-US"/>
        </w:rPr>
        <w:t>Un integrante de la Comisión de Autonomía Universitaria de la Asamblea Institucional Representativa (AIR) designada por ésta.</w:t>
      </w:r>
    </w:p>
    <w:p w:rsidR="00710DC9" w:rsidRPr="00710DC9" w:rsidRDefault="00710DC9" w:rsidP="00710DC9">
      <w:pPr>
        <w:numPr>
          <w:ilvl w:val="0"/>
          <w:numId w:val="24"/>
        </w:numPr>
        <w:tabs>
          <w:tab w:val="left" w:pos="1701"/>
        </w:tabs>
        <w:ind w:left="1560" w:right="850" w:hanging="426"/>
        <w:jc w:val="both"/>
        <w:rPr>
          <w:rFonts w:ascii="Arial" w:eastAsia="Cambria" w:hAnsi="Arial" w:cs="Arial"/>
          <w:b/>
          <w:i/>
          <w:color w:val="000000"/>
          <w:sz w:val="22"/>
          <w:szCs w:val="22"/>
          <w:lang w:val="es-ES_tradnl" w:eastAsia="en-US"/>
        </w:rPr>
      </w:pPr>
      <w:r w:rsidRPr="00710DC9">
        <w:rPr>
          <w:rFonts w:ascii="Arial" w:eastAsia="Calibri" w:hAnsi="Arial" w:cs="Arial"/>
          <w:i/>
          <w:color w:val="000000"/>
          <w:sz w:val="22"/>
          <w:szCs w:val="22"/>
          <w:lang w:val="es-CR" w:eastAsia="en-US"/>
        </w:rPr>
        <w:t>Una persona funcionaria de la Institución de profesión abogado designado por el Consejo institucional por plazos de tres años”.</w:t>
      </w:r>
    </w:p>
    <w:p w:rsidR="00710DC9" w:rsidRPr="00710DC9" w:rsidRDefault="00710DC9" w:rsidP="00710DC9">
      <w:pPr>
        <w:ind w:left="1440" w:hanging="1440"/>
        <w:jc w:val="both"/>
        <w:rPr>
          <w:rFonts w:ascii="Arial" w:eastAsia="Cambria" w:hAnsi="Arial" w:cs="Arial"/>
          <w:b/>
          <w:caps/>
          <w:color w:val="000000"/>
          <w:lang w:val="es-ES_tradnl" w:eastAsia="en-US"/>
        </w:rPr>
      </w:pPr>
    </w:p>
    <w:p w:rsidR="00710DC9" w:rsidRPr="00710DC9" w:rsidRDefault="00710DC9" w:rsidP="00710DC9">
      <w:pPr>
        <w:numPr>
          <w:ilvl w:val="0"/>
          <w:numId w:val="2"/>
        </w:numPr>
        <w:ind w:left="425" w:right="284" w:hanging="425"/>
        <w:jc w:val="both"/>
        <w:rPr>
          <w:rFonts w:ascii="Arial" w:hAnsi="Arial" w:cs="Arial"/>
          <w:color w:val="000000"/>
        </w:rPr>
      </w:pPr>
      <w:r w:rsidRPr="00710DC9">
        <w:rPr>
          <w:rFonts w:ascii="Arial" w:hAnsi="Arial" w:cs="Arial"/>
          <w:color w:val="000000"/>
        </w:rPr>
        <w:t>La Oficina de Asesoría Legal indicó, en el oficio Asesoría Legal-426-2017, del 25 de agosto de 2017, lo siguiente:</w:t>
      </w:r>
    </w:p>
    <w:p w:rsidR="00710DC9" w:rsidRPr="00710DC9" w:rsidRDefault="00710DC9" w:rsidP="00710DC9">
      <w:pPr>
        <w:ind w:left="708"/>
        <w:rPr>
          <w:rFonts w:ascii="Arial" w:eastAsia="Calibri" w:hAnsi="Arial" w:cs="Arial"/>
          <w:color w:val="000000"/>
          <w:lang w:val="es-CR"/>
        </w:rPr>
      </w:pPr>
    </w:p>
    <w:p w:rsidR="00710DC9" w:rsidRPr="00710DC9" w:rsidRDefault="00710DC9" w:rsidP="00710DC9">
      <w:pPr>
        <w:ind w:left="709" w:right="708"/>
        <w:contextualSpacing/>
        <w:jc w:val="both"/>
        <w:rPr>
          <w:rFonts w:ascii="Arial" w:eastAsia="Calibri" w:hAnsi="Arial" w:cs="Arial"/>
          <w:i/>
          <w:color w:val="000000"/>
          <w:sz w:val="22"/>
          <w:szCs w:val="22"/>
          <w:lang w:val="es-CR" w:eastAsia="es-CR"/>
        </w:rPr>
      </w:pPr>
      <w:r w:rsidRPr="00710DC9">
        <w:rPr>
          <w:rFonts w:ascii="Arial" w:eastAsia="Cambria" w:hAnsi="Arial" w:cs="Arial"/>
          <w:i/>
          <w:color w:val="000000"/>
          <w:sz w:val="22"/>
          <w:szCs w:val="22"/>
          <w:lang w:val="es-CR" w:eastAsia="es-CR"/>
        </w:rPr>
        <w:t>“</w:t>
      </w:r>
      <w:r w:rsidRPr="00710DC9">
        <w:rPr>
          <w:rFonts w:ascii="Arial" w:eastAsia="Cambria" w:hAnsi="Arial" w:cs="Arial"/>
          <w:i/>
          <w:color w:val="000000"/>
          <w:sz w:val="22"/>
          <w:szCs w:val="22"/>
          <w:lang w:val="es-ES_tradnl" w:eastAsia="es-CR"/>
        </w:rPr>
        <w:t>Los plazos establecidos en el procedimiento institucional para atender las consultas de Proyectos de Ley son muy amplios y sobrepasan en gran medida los establecidos en el reglamento de la Asamblea Legislativa, lo cual podría traer varias consecuencias negativas entre ellas: a) que una vez cumplido todo el procedimiento que se consulta éste  se encuentre aprobado o bien archivado, perdiendo una oportunidad valiosa, más si se toma en cuenta que podría estar afectando la autonomía universitaria o algún otro interés de la institución o de la ciudadanía.   No puede el ITCR  perder la oportunidad, como Universidad de Educación Superior, para brindar aportes valiosos para una futura Ley que al entrar en vigencia  ya es de acatamiento obligatorio”.</w:t>
      </w:r>
    </w:p>
    <w:p w:rsidR="00710DC9" w:rsidRPr="00710DC9" w:rsidRDefault="00710DC9" w:rsidP="00710DC9">
      <w:pPr>
        <w:ind w:right="284"/>
        <w:jc w:val="both"/>
        <w:rPr>
          <w:rFonts w:ascii="Arial" w:hAnsi="Arial" w:cs="Arial"/>
          <w:color w:val="000000"/>
          <w:lang w:val="es-CR"/>
        </w:rPr>
      </w:pPr>
    </w:p>
    <w:p w:rsidR="00710DC9" w:rsidRPr="00710DC9" w:rsidRDefault="00710DC9" w:rsidP="00710DC9">
      <w:pPr>
        <w:numPr>
          <w:ilvl w:val="0"/>
          <w:numId w:val="2"/>
        </w:numPr>
        <w:ind w:left="425" w:right="284" w:hanging="425"/>
        <w:jc w:val="both"/>
        <w:rPr>
          <w:rFonts w:ascii="Arial" w:hAnsi="Arial" w:cs="Arial"/>
          <w:color w:val="000000"/>
        </w:rPr>
      </w:pPr>
      <w:r w:rsidRPr="00710DC9">
        <w:rPr>
          <w:rFonts w:ascii="Arial" w:hAnsi="Arial" w:cs="Arial"/>
          <w:color w:val="000000"/>
        </w:rPr>
        <w:t xml:space="preserve">En el plazo establecido por la Secretaría del Consejo Institucional para recibir postulaciones para integrar la “Comisión asesora para dictaminar proyectos de ley”, se presentaron tres candidatos. </w:t>
      </w:r>
    </w:p>
    <w:p w:rsidR="00710DC9" w:rsidRPr="00710DC9" w:rsidRDefault="00710DC9" w:rsidP="00710DC9">
      <w:pPr>
        <w:jc w:val="both"/>
        <w:rPr>
          <w:rFonts w:ascii="Arial" w:eastAsia="Cambria" w:hAnsi="Arial" w:cs="Arial"/>
          <w:b/>
          <w:caps/>
          <w:color w:val="000000"/>
          <w:lang w:val="es-ES_tradnl" w:eastAsia="en-US"/>
        </w:rPr>
      </w:pPr>
    </w:p>
    <w:p w:rsidR="00710DC9" w:rsidRPr="00710DC9" w:rsidRDefault="00710DC9" w:rsidP="00710DC9">
      <w:pPr>
        <w:ind w:left="1440" w:hanging="1440"/>
        <w:jc w:val="both"/>
        <w:rPr>
          <w:rFonts w:ascii="Arial" w:eastAsia="Cambria" w:hAnsi="Arial" w:cs="Arial"/>
          <w:b/>
          <w:caps/>
          <w:color w:val="000000"/>
          <w:lang w:val="es-ES_tradnl" w:eastAsia="en-US"/>
        </w:rPr>
      </w:pPr>
      <w:r w:rsidRPr="00710DC9">
        <w:rPr>
          <w:rFonts w:ascii="Arial" w:eastAsia="Cambria" w:hAnsi="Arial" w:cs="Arial"/>
          <w:b/>
          <w:caps/>
          <w:color w:val="000000"/>
          <w:lang w:val="es-ES_tradnl" w:eastAsia="en-US"/>
        </w:rPr>
        <w:t xml:space="preserve">Considerando que: </w:t>
      </w:r>
    </w:p>
    <w:p w:rsidR="00710DC9" w:rsidRPr="00710DC9" w:rsidRDefault="00710DC9" w:rsidP="00710DC9">
      <w:pPr>
        <w:ind w:right="284"/>
        <w:jc w:val="both"/>
        <w:rPr>
          <w:rFonts w:ascii="Arial" w:hAnsi="Arial" w:cs="Arial"/>
          <w:color w:val="000000"/>
        </w:rPr>
      </w:pPr>
    </w:p>
    <w:p w:rsidR="00710DC9" w:rsidRPr="00710DC9" w:rsidRDefault="00710DC9" w:rsidP="00710DC9">
      <w:pPr>
        <w:numPr>
          <w:ilvl w:val="0"/>
          <w:numId w:val="4"/>
        </w:numPr>
        <w:ind w:right="49"/>
        <w:jc w:val="both"/>
        <w:rPr>
          <w:rFonts w:ascii="Arial" w:hAnsi="Arial" w:cs="Arial"/>
          <w:color w:val="000000"/>
        </w:rPr>
      </w:pPr>
      <w:r w:rsidRPr="00710DC9">
        <w:rPr>
          <w:rFonts w:ascii="Arial" w:hAnsi="Arial" w:cs="Arial"/>
          <w:color w:val="000000"/>
        </w:rPr>
        <w:t>La cantidad de proyectos que deben ser dictaminados y la existencia de plazos muy cortos establecidos por la Asamblea Legislativa para responder algunas de las consultas, aconseja mejorar el procedimiento aprobado en la Sesión Ordinaria No. 3032, Artículo 7, del 03 de agosto de 2017.</w:t>
      </w:r>
    </w:p>
    <w:p w:rsidR="00710DC9" w:rsidRPr="00710DC9" w:rsidRDefault="00710DC9" w:rsidP="00710DC9">
      <w:pPr>
        <w:ind w:right="49"/>
        <w:jc w:val="both"/>
        <w:rPr>
          <w:rFonts w:ascii="Arial" w:hAnsi="Arial" w:cs="Arial"/>
          <w:color w:val="000000"/>
        </w:rPr>
      </w:pPr>
    </w:p>
    <w:p w:rsidR="00710DC9" w:rsidRPr="00710DC9" w:rsidRDefault="00710DC9" w:rsidP="00710DC9">
      <w:pPr>
        <w:numPr>
          <w:ilvl w:val="0"/>
          <w:numId w:val="4"/>
        </w:numPr>
        <w:ind w:right="49"/>
        <w:jc w:val="both"/>
        <w:rPr>
          <w:rFonts w:ascii="Arial" w:hAnsi="Arial" w:cs="Arial"/>
          <w:color w:val="000000"/>
        </w:rPr>
      </w:pPr>
      <w:r w:rsidRPr="00710DC9">
        <w:rPr>
          <w:rFonts w:ascii="Arial" w:hAnsi="Arial" w:cs="Arial"/>
          <w:color w:val="000000"/>
        </w:rPr>
        <w:t>La Comisión de Estatuto Orgánico del Consejo Institucional, analizó la situación en la sesión 271-2017 realizada el 07 de setiembre de 2017 y acordó recomendar al pleno del Consejo Institucional modificar el inciso a) del acuerdo de la Sesión Ordinaria No. 3032, Artículo 7, del 03 de agosto de 2017, de manera que se lea de la siguiente manera:</w:t>
      </w:r>
    </w:p>
    <w:p w:rsidR="00710DC9" w:rsidRPr="00710DC9" w:rsidRDefault="00710DC9" w:rsidP="00710DC9">
      <w:pPr>
        <w:ind w:left="708"/>
        <w:rPr>
          <w:rFonts w:ascii="Arial" w:eastAsia="Calibri" w:hAnsi="Arial" w:cs="Arial"/>
          <w:color w:val="000000"/>
          <w:lang w:val="es-CR"/>
        </w:rPr>
      </w:pPr>
    </w:p>
    <w:p w:rsidR="00710DC9" w:rsidRPr="00710DC9" w:rsidRDefault="00710DC9" w:rsidP="00710DC9">
      <w:pPr>
        <w:ind w:left="426" w:right="850"/>
        <w:jc w:val="both"/>
        <w:rPr>
          <w:rFonts w:ascii="Arial" w:eastAsia="Cambria" w:hAnsi="Arial" w:cs="Arial"/>
          <w:i/>
          <w:color w:val="000000"/>
          <w:sz w:val="22"/>
          <w:szCs w:val="22"/>
          <w:lang w:val="es-ES_tradnl" w:eastAsia="en-US"/>
        </w:rPr>
      </w:pPr>
      <w:r w:rsidRPr="00710DC9">
        <w:rPr>
          <w:rFonts w:ascii="Arial" w:hAnsi="Arial" w:cs="Arial"/>
          <w:i/>
          <w:color w:val="000000"/>
          <w:sz w:val="22"/>
          <w:szCs w:val="22"/>
          <w:lang w:val="es-ES_tradnl" w:eastAsia="en-US"/>
        </w:rPr>
        <w:t>“Conformar tres comisiones, denominadas “Comisiones asesoras para dictaminar proyectos de ley”, cada una conformada de la siguiente manera:</w:t>
      </w:r>
    </w:p>
    <w:p w:rsidR="00710DC9" w:rsidRPr="00710DC9" w:rsidRDefault="00710DC9" w:rsidP="00710DC9">
      <w:pPr>
        <w:ind w:left="709" w:right="850"/>
        <w:rPr>
          <w:rFonts w:ascii="Arial" w:eastAsia="Calibri" w:hAnsi="Arial" w:cs="Arial"/>
          <w:i/>
          <w:color w:val="000000"/>
          <w:sz w:val="22"/>
          <w:szCs w:val="22"/>
          <w:lang w:val="es-CR"/>
        </w:rPr>
      </w:pPr>
    </w:p>
    <w:p w:rsidR="00710DC9" w:rsidRPr="00710DC9" w:rsidRDefault="00710DC9" w:rsidP="00710DC9">
      <w:pPr>
        <w:numPr>
          <w:ilvl w:val="0"/>
          <w:numId w:val="24"/>
        </w:numPr>
        <w:tabs>
          <w:tab w:val="left" w:pos="1701"/>
        </w:tabs>
        <w:ind w:left="1560" w:right="850" w:hanging="426"/>
        <w:jc w:val="both"/>
        <w:rPr>
          <w:rFonts w:ascii="Arial" w:eastAsia="Calibri" w:hAnsi="Arial" w:cs="Arial"/>
          <w:b/>
          <w:bCs/>
          <w:i/>
          <w:color w:val="000000"/>
          <w:sz w:val="22"/>
          <w:szCs w:val="22"/>
          <w:lang w:val="es-CR"/>
        </w:rPr>
      </w:pPr>
      <w:r w:rsidRPr="00710DC9">
        <w:rPr>
          <w:rFonts w:ascii="Arial" w:eastAsia="Calibri" w:hAnsi="Arial" w:cs="Arial"/>
          <w:i/>
          <w:color w:val="000000"/>
          <w:sz w:val="22"/>
          <w:szCs w:val="22"/>
          <w:lang w:val="es-CR" w:eastAsia="en-US"/>
        </w:rPr>
        <w:t>El Director(a</w:t>
      </w:r>
      <w:proofErr w:type="gramStart"/>
      <w:r w:rsidRPr="00710DC9">
        <w:rPr>
          <w:rFonts w:ascii="Arial" w:eastAsia="Calibri" w:hAnsi="Arial" w:cs="Arial"/>
          <w:i/>
          <w:color w:val="000000"/>
          <w:sz w:val="22"/>
          <w:szCs w:val="22"/>
          <w:lang w:val="es-CR" w:eastAsia="en-US"/>
        </w:rPr>
        <w:t>)  de</w:t>
      </w:r>
      <w:proofErr w:type="gramEnd"/>
      <w:r w:rsidRPr="00710DC9">
        <w:rPr>
          <w:rFonts w:ascii="Arial" w:eastAsia="Calibri" w:hAnsi="Arial" w:cs="Arial"/>
          <w:i/>
          <w:color w:val="000000"/>
          <w:sz w:val="22"/>
          <w:szCs w:val="22"/>
          <w:lang w:val="es-CR" w:eastAsia="en-US"/>
        </w:rPr>
        <w:t xml:space="preserve"> la Oficina de Asesoría Legal o su representante,  quien la coordinará.</w:t>
      </w:r>
    </w:p>
    <w:p w:rsidR="00710DC9" w:rsidRPr="00710DC9" w:rsidRDefault="00710DC9" w:rsidP="00710DC9">
      <w:pPr>
        <w:numPr>
          <w:ilvl w:val="0"/>
          <w:numId w:val="24"/>
        </w:numPr>
        <w:tabs>
          <w:tab w:val="left" w:pos="1701"/>
        </w:tabs>
        <w:ind w:left="1560" w:right="850" w:hanging="426"/>
        <w:jc w:val="both"/>
        <w:rPr>
          <w:rFonts w:ascii="Arial" w:eastAsia="Calibri" w:hAnsi="Arial" w:cs="Arial"/>
          <w:b/>
          <w:bCs/>
          <w:i/>
          <w:color w:val="000000"/>
          <w:sz w:val="22"/>
          <w:szCs w:val="22"/>
          <w:lang w:val="es-CR"/>
        </w:rPr>
      </w:pPr>
      <w:r w:rsidRPr="00710DC9">
        <w:rPr>
          <w:rFonts w:ascii="Arial" w:eastAsia="Calibri" w:hAnsi="Arial" w:cs="Arial"/>
          <w:i/>
          <w:color w:val="000000"/>
          <w:sz w:val="22"/>
          <w:szCs w:val="22"/>
          <w:lang w:val="es-CR" w:eastAsia="en-US"/>
        </w:rPr>
        <w:t>Un integrante de la Comisión de Autonomía Universitaria de la Asamblea Institucional Representativa (AIR) designada por ésta.</w:t>
      </w:r>
    </w:p>
    <w:p w:rsidR="00710DC9" w:rsidRPr="00710DC9" w:rsidRDefault="00710DC9" w:rsidP="00710DC9">
      <w:pPr>
        <w:numPr>
          <w:ilvl w:val="0"/>
          <w:numId w:val="24"/>
        </w:numPr>
        <w:tabs>
          <w:tab w:val="left" w:pos="1701"/>
        </w:tabs>
        <w:ind w:left="1560" w:right="850" w:hanging="426"/>
        <w:jc w:val="both"/>
        <w:rPr>
          <w:rFonts w:ascii="Arial" w:eastAsia="Cambria" w:hAnsi="Arial" w:cs="Arial"/>
          <w:b/>
          <w:i/>
          <w:color w:val="000000"/>
          <w:sz w:val="22"/>
          <w:szCs w:val="22"/>
          <w:lang w:val="es-ES_tradnl" w:eastAsia="en-US"/>
        </w:rPr>
      </w:pPr>
      <w:r w:rsidRPr="00710DC9">
        <w:rPr>
          <w:rFonts w:ascii="Arial" w:eastAsia="Calibri" w:hAnsi="Arial" w:cs="Arial"/>
          <w:i/>
          <w:color w:val="000000"/>
          <w:sz w:val="22"/>
          <w:szCs w:val="22"/>
          <w:lang w:val="es-CR" w:eastAsia="en-US"/>
        </w:rPr>
        <w:t>Una persona funcionaria de la Institución de profesión abogado designado por el Consejo institucional por plazos de tres años”.</w:t>
      </w:r>
    </w:p>
    <w:p w:rsidR="00710DC9" w:rsidRPr="00710DC9" w:rsidRDefault="00710DC9" w:rsidP="00710DC9">
      <w:pPr>
        <w:ind w:right="49"/>
        <w:jc w:val="both"/>
        <w:rPr>
          <w:rFonts w:ascii="Arial" w:hAnsi="Arial" w:cs="Arial"/>
          <w:color w:val="000000"/>
          <w:lang w:val="es-ES_tradnl"/>
        </w:rPr>
      </w:pPr>
    </w:p>
    <w:p w:rsidR="00710DC9" w:rsidRPr="00710DC9" w:rsidRDefault="00710DC9" w:rsidP="00710DC9">
      <w:pPr>
        <w:numPr>
          <w:ilvl w:val="0"/>
          <w:numId w:val="4"/>
        </w:numPr>
        <w:ind w:right="49"/>
        <w:jc w:val="both"/>
        <w:rPr>
          <w:rFonts w:ascii="Arial" w:hAnsi="Arial" w:cs="Arial"/>
          <w:color w:val="000000"/>
        </w:rPr>
      </w:pPr>
      <w:r w:rsidRPr="00710DC9">
        <w:rPr>
          <w:rFonts w:ascii="Arial" w:hAnsi="Arial" w:cs="Arial"/>
          <w:color w:val="000000"/>
        </w:rPr>
        <w:t>El interés mostrado por tres profesionales en derecho de integrar la “Comisión asesora para dictaminar proyectos de ley”, crea la oportunidad de modificar el acuerdo de la Sesión Ordinaria No. 3032, Artículo 7, del 03 de agosto de 2017, integrando más de una comisión dictaminadora.</w:t>
      </w:r>
    </w:p>
    <w:p w:rsidR="00710DC9" w:rsidRPr="00710DC9" w:rsidRDefault="00710DC9" w:rsidP="00710DC9">
      <w:pPr>
        <w:ind w:right="49"/>
        <w:jc w:val="both"/>
        <w:rPr>
          <w:rFonts w:ascii="Arial" w:hAnsi="Arial" w:cs="Arial"/>
          <w:color w:val="000000"/>
        </w:rPr>
      </w:pPr>
    </w:p>
    <w:p w:rsidR="00710DC9" w:rsidRPr="00710DC9" w:rsidRDefault="00710DC9" w:rsidP="00710DC9">
      <w:pPr>
        <w:rPr>
          <w:rFonts w:ascii="Arial" w:eastAsia="Cambria" w:hAnsi="Arial" w:cs="Arial"/>
          <w:b/>
          <w:color w:val="000000"/>
          <w:lang w:val="es-ES_tradnl" w:eastAsia="en-US"/>
        </w:rPr>
      </w:pPr>
      <w:r w:rsidRPr="00710DC9">
        <w:rPr>
          <w:rFonts w:ascii="Arial" w:eastAsia="Cambria" w:hAnsi="Arial" w:cs="Arial"/>
          <w:b/>
          <w:color w:val="000000"/>
          <w:lang w:val="es-ES_tradnl" w:eastAsia="en-US"/>
        </w:rPr>
        <w:t xml:space="preserve">SE </w:t>
      </w:r>
      <w:r>
        <w:rPr>
          <w:rFonts w:ascii="Arial" w:eastAsia="Cambria" w:hAnsi="Arial" w:cs="Arial"/>
          <w:b/>
          <w:color w:val="000000"/>
          <w:lang w:val="es-ES_tradnl" w:eastAsia="en-US"/>
        </w:rPr>
        <w:t>ACUERDA</w:t>
      </w:r>
      <w:r w:rsidRPr="00710DC9">
        <w:rPr>
          <w:rFonts w:ascii="Arial" w:eastAsia="Cambria" w:hAnsi="Arial" w:cs="Arial"/>
          <w:b/>
          <w:color w:val="000000"/>
          <w:lang w:val="es-ES_tradnl" w:eastAsia="en-US"/>
        </w:rPr>
        <w:t>:</w:t>
      </w:r>
    </w:p>
    <w:p w:rsidR="00710DC9" w:rsidRPr="00710DC9" w:rsidRDefault="00710DC9" w:rsidP="00710DC9">
      <w:pPr>
        <w:rPr>
          <w:rFonts w:ascii="Cambria" w:eastAsia="Cambria" w:hAnsi="Cambria"/>
          <w:b/>
          <w:i/>
          <w:color w:val="000000"/>
          <w:sz w:val="20"/>
          <w:szCs w:val="20"/>
          <w:lang w:val="es-ES_tradnl" w:eastAsia="en-US"/>
        </w:rPr>
      </w:pPr>
    </w:p>
    <w:p w:rsidR="00710DC9" w:rsidRPr="00710DC9" w:rsidRDefault="00710DC9" w:rsidP="00710DC9">
      <w:pPr>
        <w:numPr>
          <w:ilvl w:val="1"/>
          <w:numId w:val="23"/>
        </w:numPr>
        <w:ind w:left="426" w:hanging="284"/>
        <w:jc w:val="both"/>
        <w:rPr>
          <w:rFonts w:ascii="Arial" w:eastAsia="Calibri" w:hAnsi="Arial" w:cs="Arial"/>
          <w:color w:val="000000"/>
          <w:lang w:val="es-CR"/>
        </w:rPr>
      </w:pPr>
      <w:r w:rsidRPr="00710DC9">
        <w:rPr>
          <w:rFonts w:ascii="Arial" w:eastAsia="Calibri" w:hAnsi="Arial" w:cs="Arial"/>
          <w:color w:val="000000"/>
          <w:lang w:val="es-ES_tradnl"/>
        </w:rPr>
        <w:t xml:space="preserve">Modificar el inciso a) del acuerdo </w:t>
      </w:r>
      <w:r w:rsidRPr="00710DC9">
        <w:rPr>
          <w:rFonts w:ascii="Arial" w:eastAsia="Calibri" w:hAnsi="Arial" w:cs="Arial"/>
          <w:color w:val="000000"/>
          <w:lang w:val="es-CR"/>
        </w:rPr>
        <w:t>Sesión Ordinaria No. 3032, Artículo 7, del 03 de agosto de 2017, el Consejo Institucional aprobó el “Procedimiento</w:t>
      </w:r>
      <w:r w:rsidRPr="00710DC9">
        <w:rPr>
          <w:rFonts w:ascii="Arial" w:eastAsia="Calibri" w:hAnsi="Arial" w:cs="Arial"/>
          <w:b/>
          <w:color w:val="000000"/>
          <w:lang w:val="es-CR"/>
        </w:rPr>
        <w:t xml:space="preserve"> </w:t>
      </w:r>
      <w:r w:rsidRPr="00710DC9">
        <w:rPr>
          <w:rFonts w:ascii="Arial" w:eastAsia="Calibri" w:hAnsi="Arial" w:cs="Arial"/>
          <w:color w:val="000000"/>
          <w:lang w:val="es-CR"/>
        </w:rPr>
        <w:t>para la atención y emisión de criterio sobre las consultas de los Proyectos de Ley enviados por la Asamblea Legislativa al Instituto Tecnológico de Costa Rica”, de la siguiente manera:</w:t>
      </w:r>
    </w:p>
    <w:p w:rsidR="00710DC9" w:rsidRPr="00710DC9" w:rsidRDefault="00710DC9" w:rsidP="00710DC9">
      <w:pPr>
        <w:ind w:left="426"/>
        <w:jc w:val="both"/>
        <w:rPr>
          <w:rFonts w:ascii="Arial" w:eastAsia="Cambria" w:hAnsi="Arial" w:cs="Arial"/>
          <w:color w:val="000000"/>
          <w:lang w:val="es-ES_tradnl" w:eastAsia="en-US"/>
        </w:rPr>
      </w:pPr>
    </w:p>
    <w:p w:rsidR="00710DC9" w:rsidRPr="00710DC9" w:rsidRDefault="00710DC9" w:rsidP="00710DC9">
      <w:pPr>
        <w:ind w:left="709" w:right="850"/>
        <w:jc w:val="both"/>
        <w:rPr>
          <w:rFonts w:ascii="Arial" w:eastAsia="Cambria" w:hAnsi="Arial" w:cs="Arial"/>
          <w:i/>
          <w:color w:val="000000"/>
          <w:sz w:val="22"/>
          <w:szCs w:val="22"/>
          <w:lang w:val="es-ES_tradnl" w:eastAsia="en-US"/>
        </w:rPr>
      </w:pPr>
      <w:r w:rsidRPr="00710DC9">
        <w:rPr>
          <w:rFonts w:ascii="Arial" w:hAnsi="Arial" w:cs="Arial"/>
          <w:i/>
          <w:color w:val="000000"/>
          <w:sz w:val="22"/>
          <w:szCs w:val="22"/>
          <w:lang w:val="es-ES_tradnl" w:eastAsia="en-US"/>
        </w:rPr>
        <w:lastRenderedPageBreak/>
        <w:t>“Conformar tres comisiones, denominadas “Comisiones asesoras para dictaminar proyectos de ley”, cada una conformada de la siguiente manera:</w:t>
      </w:r>
    </w:p>
    <w:p w:rsidR="00710DC9" w:rsidRPr="00710DC9" w:rsidRDefault="00710DC9" w:rsidP="00710DC9">
      <w:pPr>
        <w:ind w:left="709" w:right="850"/>
        <w:rPr>
          <w:rFonts w:ascii="Arial" w:eastAsia="Calibri" w:hAnsi="Arial" w:cs="Arial"/>
          <w:i/>
          <w:color w:val="000000"/>
          <w:sz w:val="22"/>
          <w:szCs w:val="22"/>
          <w:lang w:val="es-CR"/>
        </w:rPr>
      </w:pPr>
    </w:p>
    <w:p w:rsidR="00710DC9" w:rsidRPr="00710DC9" w:rsidRDefault="00710DC9" w:rsidP="00710DC9">
      <w:pPr>
        <w:numPr>
          <w:ilvl w:val="0"/>
          <w:numId w:val="25"/>
        </w:numPr>
        <w:tabs>
          <w:tab w:val="left" w:pos="1701"/>
        </w:tabs>
        <w:ind w:left="1560" w:right="850" w:hanging="426"/>
        <w:jc w:val="both"/>
        <w:rPr>
          <w:rFonts w:ascii="Arial" w:eastAsia="Calibri" w:hAnsi="Arial" w:cs="Arial"/>
          <w:b/>
          <w:bCs/>
          <w:i/>
          <w:color w:val="000000"/>
          <w:sz w:val="22"/>
          <w:szCs w:val="22"/>
          <w:lang w:val="es-CR"/>
        </w:rPr>
      </w:pPr>
      <w:r w:rsidRPr="00710DC9">
        <w:rPr>
          <w:rFonts w:ascii="Arial" w:eastAsia="Calibri" w:hAnsi="Arial" w:cs="Arial"/>
          <w:i/>
          <w:color w:val="000000"/>
          <w:sz w:val="22"/>
          <w:szCs w:val="22"/>
          <w:lang w:val="es-CR" w:eastAsia="en-US"/>
        </w:rPr>
        <w:t>El Director(a</w:t>
      </w:r>
      <w:proofErr w:type="gramStart"/>
      <w:r w:rsidRPr="00710DC9">
        <w:rPr>
          <w:rFonts w:ascii="Arial" w:eastAsia="Calibri" w:hAnsi="Arial" w:cs="Arial"/>
          <w:i/>
          <w:color w:val="000000"/>
          <w:sz w:val="22"/>
          <w:szCs w:val="22"/>
          <w:lang w:val="es-CR" w:eastAsia="en-US"/>
        </w:rPr>
        <w:t>)  de</w:t>
      </w:r>
      <w:proofErr w:type="gramEnd"/>
      <w:r w:rsidRPr="00710DC9">
        <w:rPr>
          <w:rFonts w:ascii="Arial" w:eastAsia="Calibri" w:hAnsi="Arial" w:cs="Arial"/>
          <w:i/>
          <w:color w:val="000000"/>
          <w:sz w:val="22"/>
          <w:szCs w:val="22"/>
          <w:lang w:val="es-CR" w:eastAsia="en-US"/>
        </w:rPr>
        <w:t xml:space="preserve"> la Oficina de Asesoría Legal o su representante,  quien la coordinará.</w:t>
      </w:r>
    </w:p>
    <w:p w:rsidR="00710DC9" w:rsidRPr="00710DC9" w:rsidRDefault="00710DC9" w:rsidP="00710DC9">
      <w:pPr>
        <w:numPr>
          <w:ilvl w:val="0"/>
          <w:numId w:val="25"/>
        </w:numPr>
        <w:tabs>
          <w:tab w:val="left" w:pos="1701"/>
        </w:tabs>
        <w:ind w:left="1560" w:right="850" w:hanging="426"/>
        <w:jc w:val="both"/>
        <w:rPr>
          <w:rFonts w:ascii="Arial" w:eastAsia="Calibri" w:hAnsi="Arial" w:cs="Arial"/>
          <w:b/>
          <w:bCs/>
          <w:i/>
          <w:color w:val="000000"/>
          <w:sz w:val="22"/>
          <w:szCs w:val="22"/>
          <w:lang w:val="es-CR"/>
        </w:rPr>
      </w:pPr>
      <w:r w:rsidRPr="00710DC9">
        <w:rPr>
          <w:rFonts w:ascii="Arial" w:eastAsia="Calibri" w:hAnsi="Arial" w:cs="Arial"/>
          <w:i/>
          <w:color w:val="000000"/>
          <w:sz w:val="22"/>
          <w:szCs w:val="22"/>
          <w:lang w:val="es-CR" w:eastAsia="en-US"/>
        </w:rPr>
        <w:t>Un integrante de la Comisión de Autonomía Universitaria de la Asamblea Institucional Representativa (AIR) designada por ésta.</w:t>
      </w:r>
    </w:p>
    <w:p w:rsidR="00710DC9" w:rsidRPr="00710DC9" w:rsidRDefault="00710DC9" w:rsidP="00710DC9">
      <w:pPr>
        <w:numPr>
          <w:ilvl w:val="0"/>
          <w:numId w:val="25"/>
        </w:numPr>
        <w:tabs>
          <w:tab w:val="left" w:pos="1701"/>
        </w:tabs>
        <w:ind w:left="1560" w:right="850" w:hanging="426"/>
        <w:jc w:val="both"/>
        <w:rPr>
          <w:rFonts w:ascii="Arial" w:eastAsia="Cambria" w:hAnsi="Arial" w:cs="Arial"/>
          <w:b/>
          <w:i/>
          <w:color w:val="000000"/>
          <w:sz w:val="22"/>
          <w:szCs w:val="22"/>
          <w:lang w:val="es-ES_tradnl" w:eastAsia="en-US"/>
        </w:rPr>
      </w:pPr>
      <w:r w:rsidRPr="00710DC9">
        <w:rPr>
          <w:rFonts w:ascii="Arial" w:eastAsia="Calibri" w:hAnsi="Arial" w:cs="Arial"/>
          <w:i/>
          <w:color w:val="000000"/>
          <w:sz w:val="22"/>
          <w:szCs w:val="22"/>
          <w:lang w:val="es-CR" w:eastAsia="en-US"/>
        </w:rPr>
        <w:t>Una persona funcionaria de la Institución de profesión abogado designado por el Consejo institucional por plazos de tres años”.</w:t>
      </w:r>
    </w:p>
    <w:p w:rsidR="00710DC9" w:rsidRPr="00710DC9" w:rsidRDefault="00710DC9" w:rsidP="00710DC9">
      <w:pPr>
        <w:jc w:val="both"/>
        <w:rPr>
          <w:rFonts w:ascii="Arial" w:eastAsia="Cambria" w:hAnsi="Arial" w:cs="Arial"/>
          <w:b/>
          <w:color w:val="000000"/>
          <w:sz w:val="22"/>
          <w:szCs w:val="22"/>
          <w:lang w:val="es-ES_tradnl" w:eastAsia="en-US"/>
        </w:rPr>
      </w:pPr>
    </w:p>
    <w:p w:rsidR="00710DC9" w:rsidRDefault="00710DC9" w:rsidP="00710DC9">
      <w:pPr>
        <w:numPr>
          <w:ilvl w:val="1"/>
          <w:numId w:val="23"/>
        </w:numPr>
        <w:ind w:left="426" w:hanging="284"/>
        <w:jc w:val="both"/>
        <w:rPr>
          <w:rFonts w:ascii="Arial" w:eastAsia="Calibri" w:hAnsi="Arial" w:cs="Arial"/>
          <w:color w:val="000000"/>
          <w:lang w:val="es-CR"/>
        </w:rPr>
      </w:pPr>
      <w:r w:rsidRPr="00710DC9">
        <w:rPr>
          <w:rFonts w:ascii="Arial" w:eastAsia="Calibri" w:hAnsi="Arial" w:cs="Arial"/>
          <w:color w:val="000000"/>
          <w:lang w:val="es-CR"/>
        </w:rPr>
        <w:t>Modificar el paso 03 del Protocolo aprobado en la Sesión Ordinaria No. 3032, Artículo 7, del 03 de agosto de 2017, de modo que se lea de la siguiente forma:</w:t>
      </w:r>
    </w:p>
    <w:p w:rsidR="00710DC9" w:rsidRPr="00710DC9" w:rsidRDefault="00710DC9" w:rsidP="00710DC9">
      <w:pPr>
        <w:ind w:left="426"/>
        <w:jc w:val="both"/>
        <w:rPr>
          <w:rFonts w:ascii="Arial" w:eastAsia="Calibri" w:hAnsi="Arial" w:cs="Arial"/>
          <w:color w:val="000000"/>
          <w:lang w:val="es-CR"/>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8"/>
        <w:gridCol w:w="4920"/>
        <w:gridCol w:w="3240"/>
      </w:tblGrid>
      <w:tr w:rsidR="00710DC9" w:rsidRPr="00710DC9" w:rsidTr="004361C9">
        <w:tc>
          <w:tcPr>
            <w:tcW w:w="1188" w:type="dxa"/>
            <w:tcMar>
              <w:top w:w="0" w:type="dxa"/>
              <w:left w:w="108" w:type="dxa"/>
              <w:bottom w:w="0" w:type="dxa"/>
              <w:right w:w="108" w:type="dxa"/>
            </w:tcMar>
            <w:vAlign w:val="center"/>
            <w:hideMark/>
          </w:tcPr>
          <w:p w:rsidR="00710DC9" w:rsidRPr="00710DC9" w:rsidRDefault="00710DC9" w:rsidP="00710DC9">
            <w:pPr>
              <w:spacing w:before="120" w:line="360" w:lineRule="auto"/>
              <w:jc w:val="center"/>
              <w:rPr>
                <w:rFonts w:ascii="Arial" w:eastAsia="Calibri" w:hAnsi="Arial" w:cs="Arial"/>
                <w:color w:val="000000"/>
                <w:lang w:val="es-CR" w:eastAsia="en-US"/>
              </w:rPr>
            </w:pPr>
            <w:r w:rsidRPr="00710DC9">
              <w:rPr>
                <w:rFonts w:ascii="Arial" w:eastAsia="Calibri" w:hAnsi="Arial" w:cs="Arial"/>
                <w:color w:val="000000"/>
                <w:lang w:val="es-CR" w:eastAsia="en-US"/>
              </w:rPr>
              <w:t>03</w:t>
            </w:r>
          </w:p>
        </w:tc>
        <w:tc>
          <w:tcPr>
            <w:tcW w:w="4920" w:type="dxa"/>
            <w:tcMar>
              <w:top w:w="0" w:type="dxa"/>
              <w:left w:w="108" w:type="dxa"/>
              <w:bottom w:w="0" w:type="dxa"/>
              <w:right w:w="108" w:type="dxa"/>
            </w:tcMar>
            <w:vAlign w:val="center"/>
            <w:hideMark/>
          </w:tcPr>
          <w:p w:rsidR="00710DC9" w:rsidRPr="00710DC9" w:rsidRDefault="00710DC9" w:rsidP="00710DC9">
            <w:pPr>
              <w:jc w:val="both"/>
              <w:rPr>
                <w:rFonts w:ascii="Calibri" w:eastAsia="Calibri" w:hAnsi="Calibri"/>
                <w:color w:val="000000"/>
                <w:sz w:val="22"/>
                <w:szCs w:val="22"/>
                <w:lang w:val="es-CR" w:eastAsia="en-US"/>
              </w:rPr>
            </w:pPr>
            <w:r w:rsidRPr="00710DC9">
              <w:rPr>
                <w:rFonts w:ascii="Arial" w:eastAsia="Calibri" w:hAnsi="Arial" w:cs="Arial"/>
                <w:color w:val="000000"/>
                <w:lang w:val="es-CR" w:eastAsia="en-US"/>
              </w:rPr>
              <w:t>Se traslada el documento a una de las “</w:t>
            </w:r>
            <w:r w:rsidRPr="00710DC9">
              <w:rPr>
                <w:rFonts w:ascii="Arial" w:hAnsi="Arial" w:cs="Arial"/>
                <w:color w:val="000000"/>
                <w:sz w:val="22"/>
                <w:szCs w:val="22"/>
                <w:lang w:val="es-ES_tradnl" w:eastAsia="en-US"/>
              </w:rPr>
              <w:t>Comisiones asesoras para dictaminar proyectos de ley</w:t>
            </w:r>
            <w:r w:rsidRPr="00710DC9">
              <w:rPr>
                <w:rFonts w:ascii="Arial" w:eastAsia="Calibri" w:hAnsi="Arial" w:cs="Arial"/>
                <w:color w:val="000000"/>
                <w:lang w:val="es-CR" w:eastAsia="en-US"/>
              </w:rPr>
              <w:t>” para que emita dictamen en el plazo de 20 días hábiles. Vencido el plazo se les recordará la obligación pendiente y se le otorgará un plazo improrrogable de ocho días hábiles.</w:t>
            </w:r>
          </w:p>
        </w:tc>
        <w:tc>
          <w:tcPr>
            <w:tcW w:w="3240" w:type="dxa"/>
            <w:tcMar>
              <w:top w:w="0" w:type="dxa"/>
              <w:left w:w="108" w:type="dxa"/>
              <w:bottom w:w="0" w:type="dxa"/>
              <w:right w:w="108" w:type="dxa"/>
            </w:tcMar>
            <w:vAlign w:val="center"/>
            <w:hideMark/>
          </w:tcPr>
          <w:p w:rsidR="00710DC9" w:rsidRPr="00710DC9" w:rsidRDefault="00710DC9" w:rsidP="00710DC9">
            <w:pPr>
              <w:spacing w:before="120"/>
              <w:jc w:val="both"/>
              <w:rPr>
                <w:rFonts w:ascii="Arial" w:eastAsia="Calibri" w:hAnsi="Arial" w:cs="Arial"/>
                <w:color w:val="000000"/>
                <w:lang w:val="es-CR" w:eastAsia="en-US"/>
              </w:rPr>
            </w:pPr>
            <w:r w:rsidRPr="00710DC9">
              <w:rPr>
                <w:rFonts w:ascii="Arial" w:eastAsia="Calibri" w:hAnsi="Arial" w:cs="Arial"/>
                <w:color w:val="000000"/>
                <w:lang w:val="es-CR" w:eastAsia="en-US"/>
              </w:rPr>
              <w:t>Dirección Ejecutiva de la Secretaría del Consejo Institucional o quien ésta designe</w:t>
            </w:r>
          </w:p>
        </w:tc>
      </w:tr>
    </w:tbl>
    <w:p w:rsidR="00710DC9" w:rsidRPr="00710DC9" w:rsidRDefault="00710DC9" w:rsidP="00710DC9">
      <w:pPr>
        <w:jc w:val="both"/>
        <w:rPr>
          <w:rFonts w:ascii="Arial" w:eastAsia="Cambria" w:hAnsi="Arial" w:cs="Arial"/>
          <w:b/>
          <w:color w:val="000000"/>
          <w:sz w:val="22"/>
          <w:szCs w:val="22"/>
          <w:lang w:val="es-CR" w:eastAsia="en-US"/>
        </w:rPr>
      </w:pPr>
    </w:p>
    <w:p w:rsidR="00982435" w:rsidRDefault="00982435" w:rsidP="007742A1">
      <w:pPr>
        <w:jc w:val="both"/>
        <w:rPr>
          <w:rFonts w:ascii="Arial" w:eastAsia="Cambria" w:hAnsi="Arial" w:cs="Arial"/>
          <w:lang w:val="es-ES_tradnl" w:eastAsia="en-US"/>
        </w:rPr>
      </w:pPr>
    </w:p>
    <w:p w:rsidR="00BD426A" w:rsidRPr="00BD426A" w:rsidRDefault="00BD426A" w:rsidP="00710DC9">
      <w:pPr>
        <w:numPr>
          <w:ilvl w:val="1"/>
          <w:numId w:val="23"/>
        </w:numPr>
        <w:ind w:left="426" w:hanging="284"/>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E00132" w:rsidRDefault="00E00132" w:rsidP="00E00132">
      <w:pPr>
        <w:ind w:left="360"/>
        <w:jc w:val="both"/>
        <w:rPr>
          <w:rFonts w:ascii="Arial" w:eastAsia="Cambria" w:hAnsi="Arial" w:cs="Arial"/>
          <w:b/>
          <w:lang w:val="es-ES_tradnl" w:eastAsia="en-US"/>
        </w:rPr>
      </w:pPr>
    </w:p>
    <w:p w:rsidR="00710DC9" w:rsidRPr="00710DC9" w:rsidRDefault="00710DC9" w:rsidP="00710DC9">
      <w:pPr>
        <w:jc w:val="both"/>
        <w:rPr>
          <w:rFonts w:ascii="Arial" w:eastAsia="Cambria" w:hAnsi="Arial" w:cs="Arial"/>
          <w:b/>
          <w:color w:val="000000"/>
          <w:lang w:val="es-ES_tradnl" w:eastAsia="en-US"/>
        </w:rPr>
      </w:pPr>
      <w:r w:rsidRPr="00710DC9">
        <w:rPr>
          <w:rFonts w:ascii="Arial" w:eastAsia="Cambria" w:hAnsi="Arial" w:cs="Arial"/>
          <w:b/>
          <w:color w:val="000000"/>
          <w:sz w:val="22"/>
          <w:szCs w:val="22"/>
          <w:lang w:val="es-ES_tradnl" w:eastAsia="en-US"/>
        </w:rPr>
        <w:t xml:space="preserve">Palabras Clave:   Modificación – acuerdo 3032 – Procedimiento – criterios – consulta  proyectos </w:t>
      </w:r>
      <w:r w:rsidRPr="00710DC9">
        <w:rPr>
          <w:rFonts w:ascii="Arial" w:eastAsia="Cambria" w:hAnsi="Arial" w:cs="Arial"/>
          <w:b/>
          <w:color w:val="000000"/>
          <w:sz w:val="22"/>
          <w:szCs w:val="22"/>
          <w:lang w:val="es-ES_tradnl" w:eastAsia="en-US"/>
        </w:rPr>
        <w:tab/>
        <w:t xml:space="preserve"> </w:t>
      </w:r>
    </w:p>
    <w:p w:rsidR="00710DC9" w:rsidRPr="00E00132" w:rsidRDefault="00710DC9" w:rsidP="00E00132">
      <w:pPr>
        <w:ind w:left="360"/>
        <w:jc w:val="both"/>
        <w:rPr>
          <w:rFonts w:ascii="Arial" w:eastAsia="Cambria" w:hAnsi="Arial" w:cs="Arial"/>
          <w:b/>
          <w:lang w:val="es-ES_tradnl" w:eastAsia="en-US"/>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83" w:rsidRDefault="00D92483">
      <w:r>
        <w:separator/>
      </w:r>
    </w:p>
  </w:endnote>
  <w:endnote w:type="continuationSeparator" w:id="0">
    <w:p w:rsidR="00D92483" w:rsidRDefault="00D9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83" w:rsidRDefault="00D92483">
      <w:r>
        <w:separator/>
      </w:r>
    </w:p>
  </w:footnote>
  <w:footnote w:type="continuationSeparator" w:id="0">
    <w:p w:rsidR="00D92483" w:rsidRDefault="00D9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710DC9">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82435">
      <w:rPr>
        <w:rFonts w:ascii="Arial" w:eastAsia="Cambria" w:hAnsi="Arial" w:cs="Arial"/>
        <w:i/>
        <w:sz w:val="18"/>
        <w:szCs w:val="18"/>
        <w:lang w:val="es-ES_tradnl" w:eastAsia="x-none"/>
      </w:rPr>
      <w:t>1</w:t>
    </w:r>
    <w:r w:rsidR="00710DC9">
      <w:rPr>
        <w:rFonts w:ascii="Arial" w:eastAsia="Cambria" w:hAnsi="Arial" w:cs="Arial"/>
        <w:i/>
        <w:sz w:val="18"/>
        <w:szCs w:val="18"/>
        <w:lang w:val="es-ES_tradnl" w:eastAsia="x-none"/>
      </w:rPr>
      <w:t>4</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10DC9">
      <w:rPr>
        <w:rFonts w:ascii="Arial" w:eastAsia="Cambria" w:hAnsi="Arial" w:cs="Arial"/>
        <w:i/>
        <w:sz w:val="18"/>
        <w:szCs w:val="18"/>
        <w:lang w:val="es-ES_tradnl" w:eastAsia="x-none"/>
      </w:rPr>
      <w:t>13</w:t>
    </w:r>
    <w:r w:rsidR="006442DF">
      <w:rPr>
        <w:rFonts w:ascii="Arial" w:eastAsia="Cambria" w:hAnsi="Arial" w:cs="Arial"/>
        <w:i/>
        <w:sz w:val="18"/>
        <w:szCs w:val="18"/>
        <w:lang w:val="es-ES_tradnl" w:eastAsia="x-none"/>
      </w:rPr>
      <w:t xml:space="preserve"> de </w:t>
    </w:r>
    <w:r w:rsidR="00982435">
      <w:rPr>
        <w:rFonts w:ascii="Arial" w:eastAsia="Cambria" w:hAnsi="Arial" w:cs="Arial"/>
        <w:i/>
        <w:sz w:val="18"/>
        <w:szCs w:val="18"/>
        <w:lang w:val="es-ES_tradnl" w:eastAsia="x-none"/>
      </w:rPr>
      <w:t xml:space="preserve">setiembre </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10DC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21116F"/>
    <w:multiLevelType w:val="hybridMultilevel"/>
    <w:tmpl w:val="882A36D0"/>
    <w:lvl w:ilvl="0" w:tplc="89482666">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BD1754B"/>
    <w:multiLevelType w:val="hybridMultilevel"/>
    <w:tmpl w:val="6D2A8188"/>
    <w:lvl w:ilvl="0" w:tplc="140A001B">
      <w:start w:val="1"/>
      <w:numFmt w:val="lowerRoman"/>
      <w:lvlText w:val="%1."/>
      <w:lvlJc w:val="righ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2" w15:restartNumberingAfterBreak="0">
    <w:nsid w:val="3C321450"/>
    <w:multiLevelType w:val="hybridMultilevel"/>
    <w:tmpl w:val="6A082F6C"/>
    <w:lvl w:ilvl="0" w:tplc="CADE26CC">
      <w:start w:val="4"/>
      <w:numFmt w:val="decimal"/>
      <w:lvlText w:val="%1"/>
      <w:lvlJc w:val="left"/>
      <w:pPr>
        <w:ind w:left="786" w:hanging="360"/>
      </w:pPr>
      <w:rPr>
        <w:b/>
      </w:r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3"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04023BB"/>
    <w:multiLevelType w:val="hybridMultilevel"/>
    <w:tmpl w:val="184673A6"/>
    <w:lvl w:ilvl="0" w:tplc="E0C8F6C2">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7"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B44583"/>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0"/>
  </w:num>
  <w:num w:numId="4">
    <w:abstractNumId w:val="22"/>
  </w:num>
  <w:num w:numId="5">
    <w:abstractNumId w:val="17"/>
  </w:num>
  <w:num w:numId="6">
    <w:abstractNumId w:val="4"/>
  </w:num>
  <w:num w:numId="7">
    <w:abstractNumId w:val="6"/>
  </w:num>
  <w:num w:numId="8">
    <w:abstractNumId w:val="7"/>
  </w:num>
  <w:num w:numId="9">
    <w:abstractNumId w:val="17"/>
  </w:num>
  <w:num w:numId="10">
    <w:abstractNumId w:val="5"/>
  </w:num>
  <w:num w:numId="11">
    <w:abstractNumId w:val="18"/>
  </w:num>
  <w:num w:numId="12">
    <w:abstractNumId w:val="13"/>
  </w:num>
  <w:num w:numId="13">
    <w:abstractNumId w:val="0"/>
  </w:num>
  <w:num w:numId="14">
    <w:abstractNumId w:val="8"/>
  </w:num>
  <w:num w:numId="15">
    <w:abstractNumId w:val="21"/>
  </w:num>
  <w:num w:numId="16">
    <w:abstractNumId w:val="16"/>
  </w:num>
  <w:num w:numId="17">
    <w:abstractNumId w:val="20"/>
  </w:num>
  <w:num w:numId="18">
    <w:abstractNumId w:val="14"/>
  </w:num>
  <w:num w:numId="19">
    <w:abstractNumId w:val="2"/>
  </w:num>
  <w:num w:numId="20">
    <w:abstractNumId w:val="9"/>
  </w:num>
  <w:num w:numId="21">
    <w:abstractNumId w:val="11"/>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5C0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4787"/>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277A5"/>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0DC9"/>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2435"/>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C2D"/>
    <w:rsid w:val="00B26FFA"/>
    <w:rsid w:val="00B40B55"/>
    <w:rsid w:val="00B415F0"/>
    <w:rsid w:val="00B4627C"/>
    <w:rsid w:val="00B47959"/>
    <w:rsid w:val="00B500C3"/>
    <w:rsid w:val="00B50C53"/>
    <w:rsid w:val="00B50DD5"/>
    <w:rsid w:val="00B544F0"/>
    <w:rsid w:val="00B545A7"/>
    <w:rsid w:val="00B54B80"/>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6F77"/>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2483"/>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85AE-7CBA-4B18-B170-6D8D2A3C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144</cp:revision>
  <cp:lastPrinted>2017-09-14T12:27:00Z</cp:lastPrinted>
  <dcterms:created xsi:type="dcterms:W3CDTF">2016-10-05T20:00:00Z</dcterms:created>
  <dcterms:modified xsi:type="dcterms:W3CDTF">2017-09-14T12:28:00Z</dcterms:modified>
</cp:coreProperties>
</file>