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6A2B99" w:rsidRDefault="006A2B99"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93FEF">
        <w:rPr>
          <w:rFonts w:ascii="Arial" w:hAnsi="Arial" w:cs="Arial"/>
          <w:b/>
          <w:bCs/>
          <w:iCs/>
          <w:sz w:val="26"/>
          <w:szCs w:val="22"/>
          <w:lang w:val="es-CR"/>
        </w:rPr>
        <w:t>482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6E6AD6" w:rsidRDefault="00162459"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772438" w:rsidRPr="000661B6">
              <w:rPr>
                <w:rFonts w:ascii="Arial" w:eastAsia="Cambria" w:hAnsi="Arial" w:cs="Arial"/>
                <w:sz w:val="22"/>
                <w:szCs w:val="22"/>
                <w:lang w:val="es-ES_tradnl" w:eastAsia="en-US"/>
              </w:rPr>
              <w:t>, Rector</w:t>
            </w:r>
            <w:r w:rsidR="00772438">
              <w:rPr>
                <w:rFonts w:ascii="Arial" w:eastAsia="Cambria" w:hAnsi="Arial" w:cs="Arial"/>
                <w:sz w:val="22"/>
                <w:szCs w:val="22"/>
                <w:lang w:val="es-ES_tradnl" w:eastAsia="en-US"/>
              </w:rPr>
              <w:t xml:space="preserve"> </w:t>
            </w:r>
          </w:p>
          <w:p w:rsidR="004C05F3" w:rsidRDefault="00193FEF" w:rsidP="00406BCD">
            <w:pPr>
              <w:jc w:val="both"/>
              <w:rPr>
                <w:rFonts w:ascii="Arial" w:hAnsi="Arial" w:cs="Arial"/>
                <w:sz w:val="22"/>
                <w:szCs w:val="22"/>
              </w:rPr>
            </w:pPr>
            <w:r w:rsidRPr="00193FEF">
              <w:rPr>
                <w:rFonts w:ascii="Arial" w:hAnsi="Arial" w:cs="Arial"/>
                <w:sz w:val="22"/>
                <w:szCs w:val="22"/>
              </w:rPr>
              <w:t xml:space="preserve">Sr. Eduardo Sibaja Arias, Director de </w:t>
            </w:r>
            <w:proofErr w:type="spellStart"/>
            <w:r w:rsidRPr="00193FEF">
              <w:rPr>
                <w:rFonts w:ascii="Arial" w:hAnsi="Arial" w:cs="Arial"/>
                <w:sz w:val="22"/>
                <w:szCs w:val="22"/>
              </w:rPr>
              <w:t>OPES</w:t>
            </w:r>
            <w:proofErr w:type="spellEnd"/>
          </w:p>
          <w:p w:rsidR="00193FEF" w:rsidRDefault="00193FEF" w:rsidP="00406BCD">
            <w:pPr>
              <w:jc w:val="both"/>
              <w:rPr>
                <w:rFonts w:ascii="Arial" w:hAnsi="Arial" w:cs="Arial"/>
                <w:sz w:val="22"/>
                <w:szCs w:val="22"/>
              </w:rPr>
            </w:pPr>
            <w:r>
              <w:rPr>
                <w:rFonts w:ascii="Arial" w:hAnsi="Arial" w:cs="Arial"/>
                <w:sz w:val="22"/>
                <w:szCs w:val="22"/>
              </w:rPr>
              <w:t>Consejo Nacional de Rectores</w:t>
            </w:r>
          </w:p>
          <w:p w:rsidR="00193FEF" w:rsidRDefault="00193FEF" w:rsidP="00406BCD">
            <w:pPr>
              <w:jc w:val="both"/>
              <w:rPr>
                <w:rFonts w:ascii="Arial" w:hAnsi="Arial" w:cs="Arial"/>
                <w:sz w:val="22"/>
                <w:szCs w:val="22"/>
              </w:rPr>
            </w:pPr>
            <w:r>
              <w:rPr>
                <w:rFonts w:ascii="Arial" w:hAnsi="Arial" w:cs="Arial"/>
                <w:sz w:val="22"/>
                <w:szCs w:val="22"/>
              </w:rPr>
              <w:t>Ing. Luis Paulino Méndez, Vicerrector de Docencia</w:t>
            </w:r>
          </w:p>
          <w:p w:rsidR="00193FEF" w:rsidRPr="00193FEF" w:rsidRDefault="00193FEF" w:rsidP="00406BCD">
            <w:pPr>
              <w:jc w:val="both"/>
              <w:rPr>
                <w:rFonts w:ascii="Arial" w:hAnsi="Arial" w:cs="Arial"/>
                <w:sz w:val="22"/>
                <w:szCs w:val="22"/>
              </w:rPr>
            </w:pPr>
            <w:r>
              <w:rPr>
                <w:rFonts w:ascii="Arial" w:hAnsi="Arial" w:cs="Arial"/>
                <w:sz w:val="22"/>
                <w:szCs w:val="22"/>
              </w:rPr>
              <w:t xml:space="preserve">Dr. Humberto Villalta, Vicerrector de Administración </w:t>
            </w:r>
          </w:p>
          <w:p w:rsidR="00193FEF" w:rsidRPr="004C05F3" w:rsidRDefault="00193FEF" w:rsidP="00406BC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11585B" w:rsidP="00406BC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406BCD">
              <w:rPr>
                <w:rFonts w:ascii="Arial" w:eastAsia="Cambria" w:hAnsi="Arial" w:cs="Arial"/>
                <w:b/>
                <w:sz w:val="22"/>
                <w:szCs w:val="22"/>
                <w:lang w:val="es-ES_tradnl" w:eastAsia="en-US"/>
              </w:rPr>
              <w:t>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772438" w:rsidRDefault="007742A1" w:rsidP="007742A1">
            <w:pPr>
              <w:rPr>
                <w:rFonts w:ascii="Arial" w:eastAsia="SimSun" w:hAnsi="Arial" w:cs="Arial"/>
                <w:sz w:val="22"/>
                <w:szCs w:val="22"/>
                <w:lang w:val="es-CR"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62459" w:rsidRPr="00A2484D" w:rsidRDefault="007742A1" w:rsidP="007C2D00">
            <w:pPr>
              <w:jc w:val="both"/>
              <w:rPr>
                <w:rFonts w:ascii="Arial" w:eastAsia="Cambria" w:hAnsi="Arial" w:cs="Arial"/>
                <w:b/>
                <w:sz w:val="22"/>
                <w:szCs w:val="22"/>
                <w:highlight w:val="yellow"/>
                <w:lang w:val="es-CR" w:eastAsia="en-US"/>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62459">
              <w:rPr>
                <w:rFonts w:ascii="Arial" w:eastAsia="Calibri" w:hAnsi="Arial" w:cs="Arial"/>
                <w:b/>
                <w:sz w:val="22"/>
                <w:szCs w:val="22"/>
              </w:rPr>
              <w:t>3</w:t>
            </w:r>
            <w:r w:rsidR="00406BCD">
              <w:rPr>
                <w:rFonts w:ascii="Arial" w:eastAsia="Calibri" w:hAnsi="Arial" w:cs="Arial"/>
                <w:b/>
                <w:sz w:val="22"/>
                <w:szCs w:val="22"/>
              </w:rPr>
              <w:t>3</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11585B">
              <w:rPr>
                <w:rFonts w:ascii="Arial" w:eastAsia="Calibri" w:hAnsi="Arial" w:cs="Arial"/>
                <w:b/>
                <w:sz w:val="22"/>
                <w:szCs w:val="22"/>
              </w:rPr>
              <w:t>8</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11585B">
              <w:rPr>
                <w:rFonts w:ascii="Arial" w:eastAsia="Calibri" w:hAnsi="Arial" w:cs="Arial"/>
                <w:b/>
                <w:sz w:val="22"/>
                <w:szCs w:val="22"/>
              </w:rPr>
              <w:t>0</w:t>
            </w:r>
            <w:r w:rsidR="00406BCD">
              <w:rPr>
                <w:rFonts w:ascii="Arial" w:eastAsia="Calibri" w:hAnsi="Arial" w:cs="Arial"/>
                <w:b/>
                <w:sz w:val="22"/>
                <w:szCs w:val="22"/>
              </w:rPr>
              <w:t>9</w:t>
            </w:r>
            <w:r w:rsidRPr="00A2484D">
              <w:rPr>
                <w:rFonts w:ascii="Arial" w:eastAsia="Calibri" w:hAnsi="Arial" w:cs="Arial"/>
                <w:b/>
                <w:sz w:val="22"/>
                <w:szCs w:val="22"/>
              </w:rPr>
              <w:t xml:space="preserve"> </w:t>
            </w:r>
            <w:r w:rsidRPr="006E6AD6">
              <w:rPr>
                <w:rFonts w:ascii="Arial" w:eastAsia="Calibri" w:hAnsi="Arial" w:cs="Arial"/>
                <w:b/>
                <w:sz w:val="22"/>
                <w:szCs w:val="22"/>
              </w:rPr>
              <w:t xml:space="preserve">de </w:t>
            </w:r>
            <w:r w:rsidR="0011585B" w:rsidRPr="006E6AD6">
              <w:rPr>
                <w:rFonts w:ascii="Arial" w:eastAsia="Calibri" w:hAnsi="Arial" w:cs="Arial"/>
                <w:b/>
                <w:sz w:val="22"/>
                <w:szCs w:val="22"/>
              </w:rPr>
              <w:t>agosto</w:t>
            </w:r>
            <w:r w:rsidR="007A2D73" w:rsidRPr="006E6AD6">
              <w:rPr>
                <w:rFonts w:ascii="Arial" w:eastAsia="Calibri" w:hAnsi="Arial" w:cs="Arial"/>
                <w:b/>
                <w:sz w:val="22"/>
                <w:szCs w:val="22"/>
              </w:rPr>
              <w:t xml:space="preserve"> </w:t>
            </w:r>
            <w:r w:rsidR="00A772EF" w:rsidRPr="006E6AD6">
              <w:rPr>
                <w:rFonts w:ascii="Arial" w:eastAsia="Calibri" w:hAnsi="Arial" w:cs="Arial"/>
                <w:b/>
                <w:sz w:val="22"/>
                <w:szCs w:val="22"/>
              </w:rPr>
              <w:t>de 2017</w:t>
            </w:r>
            <w:r w:rsidR="001E08C0" w:rsidRPr="006E6AD6">
              <w:rPr>
                <w:rFonts w:ascii="Arial" w:eastAsia="Calibri" w:hAnsi="Arial" w:cs="Arial"/>
                <w:b/>
                <w:sz w:val="22"/>
                <w:szCs w:val="22"/>
              </w:rPr>
              <w:t xml:space="preserve">.  </w:t>
            </w:r>
            <w:r w:rsidR="00406BCD">
              <w:rPr>
                <w:rFonts w:ascii="Arial" w:eastAsia="Calibri" w:hAnsi="Arial" w:cs="Arial"/>
                <w:b/>
                <w:sz w:val="22"/>
                <w:szCs w:val="22"/>
              </w:rPr>
              <w:t>Consulta al Consejo Nacional de Rectores sobre texto de “Modificación al Artículo 41 del Convenio de Coordinación de la Educación Superior”</w:t>
            </w:r>
          </w:p>
        </w:tc>
      </w:tr>
      <w:tr w:rsidR="006E6AD6" w:rsidRPr="00A2484D" w:rsidTr="007742A1">
        <w:trPr>
          <w:trHeight w:val="327"/>
        </w:trPr>
        <w:tc>
          <w:tcPr>
            <w:tcW w:w="1418" w:type="dxa"/>
          </w:tcPr>
          <w:p w:rsidR="006E6AD6" w:rsidRPr="00D958BC" w:rsidRDefault="006E6AD6" w:rsidP="007742A1">
            <w:pPr>
              <w:rPr>
                <w:rFonts w:ascii="Arial" w:eastAsia="SimSun" w:hAnsi="Arial" w:cs="Arial"/>
                <w:b/>
                <w:sz w:val="22"/>
                <w:szCs w:val="22"/>
                <w:lang w:val="es-ES_tradnl" w:eastAsia="en-US"/>
              </w:rPr>
            </w:pPr>
          </w:p>
        </w:tc>
        <w:tc>
          <w:tcPr>
            <w:tcW w:w="8221" w:type="dxa"/>
          </w:tcPr>
          <w:p w:rsidR="006E6AD6" w:rsidRPr="00A2484D" w:rsidRDefault="006E6AD6" w:rsidP="006E6AD6">
            <w:pPr>
              <w:jc w:val="both"/>
              <w:rPr>
                <w:rFonts w:ascii="Arial" w:eastAsia="Calibri" w:hAnsi="Arial" w:cs="Arial"/>
                <w:b/>
                <w:sz w:val="22"/>
                <w:szCs w:val="22"/>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93FEF" w:rsidRDefault="00193FEF" w:rsidP="007742A1">
      <w:pPr>
        <w:jc w:val="both"/>
        <w:rPr>
          <w:rFonts w:ascii="Arial" w:eastAsia="Cambria" w:hAnsi="Arial" w:cs="Arial"/>
          <w:lang w:val="es-ES_tradnl" w:eastAsia="en-US"/>
        </w:rPr>
      </w:pPr>
    </w:p>
    <w:p w:rsidR="00193FEF" w:rsidRPr="00193FEF" w:rsidRDefault="00193FEF" w:rsidP="00193FEF">
      <w:pPr>
        <w:ind w:left="1440" w:hanging="1440"/>
        <w:jc w:val="both"/>
        <w:rPr>
          <w:rFonts w:ascii="Arial" w:eastAsia="Cambria" w:hAnsi="Arial" w:cs="Arial"/>
          <w:b/>
          <w:caps/>
          <w:lang w:val="es-ES_tradnl" w:eastAsia="en-US"/>
        </w:rPr>
      </w:pPr>
      <w:r w:rsidRPr="00193FEF">
        <w:rPr>
          <w:rFonts w:ascii="Arial" w:eastAsia="Cambria" w:hAnsi="Arial" w:cs="Arial"/>
          <w:b/>
          <w:caps/>
          <w:lang w:val="es-ES_tradnl" w:eastAsia="en-US"/>
        </w:rPr>
        <w:t xml:space="preserve">resultando que: </w:t>
      </w:r>
    </w:p>
    <w:p w:rsidR="00193FEF" w:rsidRPr="00193FEF" w:rsidRDefault="00193FEF" w:rsidP="00193FEF">
      <w:pPr>
        <w:ind w:left="1276" w:hanging="1276"/>
        <w:jc w:val="both"/>
        <w:rPr>
          <w:rFonts w:ascii="Arial" w:eastAsia="Cambria" w:hAnsi="Arial" w:cs="Arial"/>
          <w:b/>
          <w:lang w:val="es-ES_tradnl" w:eastAsia="en-US"/>
        </w:rPr>
      </w:pPr>
    </w:p>
    <w:p w:rsidR="00193FEF" w:rsidRPr="00193FEF" w:rsidRDefault="00193FEF" w:rsidP="00193FEF">
      <w:pPr>
        <w:numPr>
          <w:ilvl w:val="0"/>
          <w:numId w:val="33"/>
        </w:numPr>
        <w:ind w:left="425" w:right="284" w:hanging="425"/>
        <w:jc w:val="both"/>
        <w:rPr>
          <w:rFonts w:ascii="Arial" w:hAnsi="Arial" w:cs="Arial"/>
        </w:rPr>
      </w:pPr>
      <w:r w:rsidRPr="00193FEF">
        <w:rPr>
          <w:rFonts w:ascii="Arial" w:hAnsi="Arial" w:cs="Arial"/>
        </w:rPr>
        <w:t>El Estatuto Orgánico del ITCR establece lo siguiente:</w:t>
      </w:r>
    </w:p>
    <w:p w:rsidR="00193FEF" w:rsidRPr="00193FEF" w:rsidRDefault="00193FEF" w:rsidP="00193FEF">
      <w:pPr>
        <w:ind w:right="284"/>
        <w:jc w:val="both"/>
        <w:rPr>
          <w:rFonts w:ascii="Arial" w:hAnsi="Arial" w:cs="Arial"/>
        </w:rPr>
      </w:pPr>
    </w:p>
    <w:p w:rsidR="00193FEF" w:rsidRPr="00193FEF" w:rsidRDefault="00193FEF" w:rsidP="00193FEF">
      <w:pPr>
        <w:ind w:left="720" w:right="1275"/>
        <w:jc w:val="both"/>
        <w:rPr>
          <w:rFonts w:ascii="Arial" w:hAnsi="Arial" w:cs="Arial"/>
          <w:b/>
          <w:i/>
          <w:sz w:val="22"/>
          <w:szCs w:val="22"/>
          <w:lang w:val="es-ES_tradnl"/>
        </w:rPr>
      </w:pPr>
      <w:r w:rsidRPr="00193FEF">
        <w:rPr>
          <w:rFonts w:ascii="Arial" w:hAnsi="Arial" w:cs="Arial"/>
          <w:b/>
          <w:i/>
          <w:sz w:val="20"/>
          <w:szCs w:val="20"/>
          <w:lang w:val="es-ES_tradnl"/>
        </w:rPr>
        <w:t>“</w:t>
      </w:r>
      <w:r w:rsidRPr="00193FEF">
        <w:rPr>
          <w:rFonts w:ascii="Arial" w:hAnsi="Arial" w:cs="Arial"/>
          <w:b/>
          <w:i/>
          <w:sz w:val="22"/>
          <w:szCs w:val="22"/>
          <w:lang w:val="es-ES_tradnl"/>
        </w:rPr>
        <w:t xml:space="preserve">ARTÍCULO 18 </w:t>
      </w:r>
    </w:p>
    <w:p w:rsidR="00193FEF" w:rsidRPr="00193FEF" w:rsidRDefault="00193FEF" w:rsidP="00193FEF">
      <w:pPr>
        <w:ind w:left="720" w:right="1275"/>
        <w:jc w:val="both"/>
        <w:rPr>
          <w:rFonts w:ascii="Arial" w:hAnsi="Arial" w:cs="Arial"/>
          <w:i/>
          <w:sz w:val="22"/>
          <w:szCs w:val="22"/>
          <w:lang w:val="es-ES_tradnl"/>
        </w:rPr>
      </w:pPr>
      <w:r w:rsidRPr="00193FEF">
        <w:rPr>
          <w:rFonts w:ascii="Arial" w:hAnsi="Arial" w:cs="Arial"/>
          <w:i/>
          <w:sz w:val="22"/>
          <w:szCs w:val="22"/>
          <w:lang w:val="es-ES_tradnl"/>
        </w:rPr>
        <w:t xml:space="preserve">Son funciones del Consejo Institucional: </w:t>
      </w:r>
    </w:p>
    <w:p w:rsidR="00193FEF" w:rsidRPr="00193FEF" w:rsidRDefault="00193FEF" w:rsidP="00193FEF">
      <w:pPr>
        <w:ind w:left="720" w:right="1275"/>
        <w:jc w:val="both"/>
        <w:rPr>
          <w:rFonts w:ascii="Arial" w:hAnsi="Arial" w:cs="Arial"/>
          <w:i/>
          <w:sz w:val="22"/>
          <w:szCs w:val="22"/>
          <w:lang w:val="es-ES_tradnl"/>
        </w:rPr>
      </w:pPr>
      <w:r w:rsidRPr="00193FEF">
        <w:rPr>
          <w:rFonts w:ascii="Arial" w:hAnsi="Arial" w:cs="Arial"/>
          <w:i/>
          <w:sz w:val="22"/>
          <w:szCs w:val="22"/>
          <w:lang w:val="es-ES_tradnl"/>
        </w:rPr>
        <w:t>…</w:t>
      </w:r>
    </w:p>
    <w:p w:rsidR="00193FEF" w:rsidRPr="00193FEF" w:rsidRDefault="00193FEF" w:rsidP="00193FEF">
      <w:pPr>
        <w:ind w:left="993" w:right="1275" w:hanging="284"/>
        <w:jc w:val="both"/>
        <w:rPr>
          <w:rFonts w:ascii="Arial" w:hAnsi="Arial" w:cs="Arial"/>
          <w:i/>
          <w:sz w:val="22"/>
          <w:szCs w:val="22"/>
          <w:lang w:val="es-ES_tradnl"/>
        </w:rPr>
      </w:pPr>
      <w:r w:rsidRPr="00193FEF">
        <w:rPr>
          <w:rFonts w:ascii="Arial" w:hAnsi="Arial" w:cs="Arial"/>
          <w:i/>
          <w:sz w:val="22"/>
          <w:szCs w:val="22"/>
          <w:lang w:val="es-ES_tradnl"/>
        </w:rPr>
        <w:t>j. Ejercer el derecho al veto de las resoluciones tomadas por el Consejo Nacional de Rectores</w:t>
      </w:r>
    </w:p>
    <w:p w:rsidR="00193FEF" w:rsidRPr="00193FEF" w:rsidRDefault="00193FEF" w:rsidP="00193FEF">
      <w:pPr>
        <w:ind w:left="720" w:right="1275"/>
        <w:jc w:val="both"/>
        <w:rPr>
          <w:rFonts w:ascii="Arial" w:hAnsi="Arial" w:cs="Arial"/>
          <w:i/>
          <w:sz w:val="22"/>
          <w:szCs w:val="22"/>
          <w:lang w:val="es-ES_tradnl"/>
        </w:rPr>
      </w:pPr>
      <w:r w:rsidRPr="00193FEF">
        <w:rPr>
          <w:rFonts w:ascii="Arial" w:hAnsi="Arial" w:cs="Arial"/>
          <w:i/>
          <w:sz w:val="22"/>
          <w:szCs w:val="22"/>
          <w:lang w:val="es-ES_tradnl"/>
        </w:rPr>
        <w:t>…</w:t>
      </w:r>
    </w:p>
    <w:p w:rsidR="00193FEF" w:rsidRPr="00193FEF" w:rsidRDefault="00193FEF" w:rsidP="00193FEF">
      <w:pPr>
        <w:ind w:left="1276" w:hanging="1276"/>
        <w:jc w:val="both"/>
        <w:rPr>
          <w:rFonts w:ascii="Arial" w:eastAsia="Cambria" w:hAnsi="Arial" w:cs="Arial"/>
          <w:b/>
          <w:sz w:val="28"/>
          <w:szCs w:val="28"/>
          <w:lang w:val="es-ES_tradnl" w:eastAsia="en-US"/>
        </w:rPr>
      </w:pPr>
    </w:p>
    <w:p w:rsidR="00193FEF" w:rsidRPr="00193FEF" w:rsidRDefault="00193FEF" w:rsidP="00193FEF">
      <w:pPr>
        <w:ind w:left="1440" w:hanging="1440"/>
        <w:jc w:val="both"/>
        <w:rPr>
          <w:rFonts w:ascii="Arial" w:eastAsia="Cambria" w:hAnsi="Arial" w:cs="Arial"/>
          <w:b/>
          <w:caps/>
          <w:lang w:val="es-ES_tradnl" w:eastAsia="en-US"/>
        </w:rPr>
      </w:pPr>
      <w:r w:rsidRPr="00193FEF">
        <w:rPr>
          <w:rFonts w:ascii="Arial" w:eastAsia="Cambria" w:hAnsi="Arial" w:cs="Arial"/>
          <w:b/>
          <w:caps/>
          <w:lang w:val="es-ES_tradnl" w:eastAsia="en-US"/>
        </w:rPr>
        <w:t xml:space="preserve">Considerando que: </w:t>
      </w:r>
    </w:p>
    <w:p w:rsidR="00193FEF" w:rsidRPr="00193FEF" w:rsidRDefault="00193FEF" w:rsidP="00193FEF">
      <w:pPr>
        <w:ind w:left="1276" w:hanging="1276"/>
        <w:jc w:val="both"/>
        <w:rPr>
          <w:rFonts w:ascii="Arial" w:eastAsia="Cambria" w:hAnsi="Arial" w:cs="Arial"/>
          <w:b/>
          <w:lang w:val="es-ES_tradnl" w:eastAsia="en-US"/>
        </w:rPr>
      </w:pPr>
    </w:p>
    <w:p w:rsidR="00193FEF" w:rsidRPr="00193FEF" w:rsidRDefault="00193FEF" w:rsidP="00193FEF">
      <w:pPr>
        <w:numPr>
          <w:ilvl w:val="0"/>
          <w:numId w:val="34"/>
        </w:numPr>
        <w:ind w:right="49"/>
        <w:jc w:val="both"/>
        <w:rPr>
          <w:rFonts w:ascii="Arial" w:hAnsi="Arial" w:cs="Arial"/>
        </w:rPr>
      </w:pPr>
      <w:r w:rsidRPr="00193FEF">
        <w:rPr>
          <w:rFonts w:ascii="Arial" w:hAnsi="Arial" w:cs="Arial"/>
        </w:rPr>
        <w:t xml:space="preserve">La Secretaría del Consejo Institucional recibió el oficio CNR-055-17, con fecha de recibido 28 de febrero de 2017, suscrito por el Sr. Eduardo Sibaja Arias, Director de </w:t>
      </w:r>
      <w:proofErr w:type="spellStart"/>
      <w:r w:rsidRPr="00193FEF">
        <w:rPr>
          <w:rFonts w:ascii="Arial" w:hAnsi="Arial" w:cs="Arial"/>
        </w:rPr>
        <w:t>OPES</w:t>
      </w:r>
      <w:proofErr w:type="spellEnd"/>
      <w:r w:rsidRPr="00193FEF">
        <w:rPr>
          <w:rFonts w:ascii="Arial" w:hAnsi="Arial" w:cs="Arial"/>
        </w:rPr>
        <w:t xml:space="preserve">, dirigido al Dr. Julio C. Calvo, Presidente del Consejo Institucional, en el cual hace referencia al Acuerdo de la Sesión No. 04-17, </w:t>
      </w:r>
      <w:proofErr w:type="spellStart"/>
      <w:r w:rsidRPr="00193FEF">
        <w:rPr>
          <w:rFonts w:ascii="Arial" w:hAnsi="Arial" w:cs="Arial"/>
        </w:rPr>
        <w:t>CONARE</w:t>
      </w:r>
      <w:proofErr w:type="spellEnd"/>
      <w:r w:rsidRPr="00193FEF">
        <w:rPr>
          <w:rFonts w:ascii="Arial" w:hAnsi="Arial" w:cs="Arial"/>
        </w:rPr>
        <w:t xml:space="preserve">, en el cual se acordó Modificar el Artículo 41 del Convenio de Coordinación de la Educación Superior Universitaria Estatal vigente y someten la propuesta de reforma a la ratificación de los consejos </w:t>
      </w:r>
      <w:r w:rsidR="007C2D00">
        <w:rPr>
          <w:rFonts w:ascii="Arial" w:hAnsi="Arial" w:cs="Arial"/>
        </w:rPr>
        <w:t>u</w:t>
      </w:r>
      <w:r w:rsidRPr="00193FEF">
        <w:rPr>
          <w:rFonts w:ascii="Arial" w:hAnsi="Arial" w:cs="Arial"/>
        </w:rPr>
        <w:t xml:space="preserve">niversitarios e </w:t>
      </w:r>
      <w:r w:rsidR="007C2D00">
        <w:rPr>
          <w:rFonts w:ascii="Arial" w:hAnsi="Arial" w:cs="Arial"/>
        </w:rPr>
        <w:t>i</w:t>
      </w:r>
      <w:r w:rsidRPr="00193FEF">
        <w:rPr>
          <w:rFonts w:ascii="Arial" w:hAnsi="Arial" w:cs="Arial"/>
        </w:rPr>
        <w:t>nstitucional de las instituciones signatarias del Convenio de Coordinación.</w:t>
      </w:r>
    </w:p>
    <w:p w:rsidR="00193FEF" w:rsidRPr="00193FEF" w:rsidRDefault="00193FEF" w:rsidP="00193FEF">
      <w:pPr>
        <w:ind w:left="360" w:right="49"/>
        <w:jc w:val="both"/>
        <w:rPr>
          <w:rFonts w:ascii="Arial" w:hAnsi="Arial" w:cs="Arial"/>
        </w:rPr>
      </w:pPr>
    </w:p>
    <w:p w:rsidR="00193FEF" w:rsidRPr="00193FEF" w:rsidRDefault="00193FEF" w:rsidP="00193FEF">
      <w:pPr>
        <w:numPr>
          <w:ilvl w:val="0"/>
          <w:numId w:val="34"/>
        </w:numPr>
        <w:ind w:right="49"/>
        <w:jc w:val="both"/>
        <w:rPr>
          <w:rFonts w:ascii="Arial" w:hAnsi="Arial" w:cs="Arial"/>
        </w:rPr>
      </w:pPr>
      <w:r w:rsidRPr="00193FEF">
        <w:rPr>
          <w:rFonts w:ascii="Arial" w:hAnsi="Arial" w:cs="Arial"/>
        </w:rPr>
        <w:t xml:space="preserve">El Consejo Institucional en la Sesión Ordinaria No. 3012, realizada el 8 de marzo del 2017, trasladó el acuerdo del </w:t>
      </w:r>
      <w:proofErr w:type="spellStart"/>
      <w:r w:rsidRPr="00193FEF">
        <w:rPr>
          <w:rFonts w:ascii="Arial" w:hAnsi="Arial" w:cs="Arial"/>
        </w:rPr>
        <w:t>CONARE</w:t>
      </w:r>
      <w:proofErr w:type="spellEnd"/>
      <w:r w:rsidRPr="00193FEF">
        <w:rPr>
          <w:rFonts w:ascii="Arial" w:hAnsi="Arial" w:cs="Arial"/>
        </w:rPr>
        <w:t xml:space="preserve"> a la Comisión de Asuntos Académicos y Estudiantiles para su respectivo análisis y dictamen.</w:t>
      </w:r>
    </w:p>
    <w:p w:rsidR="00193FEF" w:rsidRPr="00193FEF" w:rsidRDefault="00193FEF" w:rsidP="00193FEF">
      <w:pPr>
        <w:ind w:left="708"/>
        <w:rPr>
          <w:rFonts w:ascii="Arial" w:eastAsia="Calibri" w:hAnsi="Arial" w:cs="Arial"/>
          <w:lang w:val="es-CR"/>
        </w:rPr>
      </w:pPr>
    </w:p>
    <w:p w:rsidR="00193FEF" w:rsidRPr="00193FEF" w:rsidRDefault="00193FEF" w:rsidP="00193FEF">
      <w:pPr>
        <w:numPr>
          <w:ilvl w:val="0"/>
          <w:numId w:val="34"/>
        </w:numPr>
        <w:ind w:right="49"/>
        <w:jc w:val="both"/>
        <w:rPr>
          <w:rFonts w:ascii="Arial" w:hAnsi="Arial" w:cs="Arial"/>
        </w:rPr>
      </w:pPr>
      <w:r w:rsidRPr="00193FEF">
        <w:rPr>
          <w:rFonts w:ascii="Arial" w:hAnsi="Arial" w:cs="Arial"/>
        </w:rPr>
        <w:t xml:space="preserve">La Comisión de Asuntos Académicos y Estudiantiles, en las reuniones ordinarias No.  550-2017, No. 551-2017 y No. 555-2017, realizadas el martes 31 de mayo de </w:t>
      </w:r>
      <w:r w:rsidRPr="00193FEF">
        <w:rPr>
          <w:rFonts w:ascii="Arial" w:hAnsi="Arial" w:cs="Arial"/>
        </w:rPr>
        <w:lastRenderedPageBreak/>
        <w:t>2017, el martes 6 de junio de 2017 y el viernes 28 de julio del 2017, analizó la propuesta “Modificación al Artículo 41 del Convenio de Coordinación de la Educación Superior.</w:t>
      </w:r>
    </w:p>
    <w:p w:rsidR="00193FEF" w:rsidRPr="00193FEF" w:rsidRDefault="00193FEF" w:rsidP="00193FEF">
      <w:pPr>
        <w:ind w:left="708"/>
        <w:rPr>
          <w:rFonts w:ascii="Arial" w:eastAsia="Calibri" w:hAnsi="Arial" w:cs="Arial"/>
          <w:lang w:val="es-CR"/>
        </w:rPr>
      </w:pPr>
    </w:p>
    <w:p w:rsidR="00193FEF" w:rsidRPr="00193FEF" w:rsidRDefault="00193FEF" w:rsidP="00193FEF">
      <w:pPr>
        <w:numPr>
          <w:ilvl w:val="0"/>
          <w:numId w:val="34"/>
        </w:numPr>
        <w:ind w:right="49"/>
        <w:jc w:val="both"/>
        <w:rPr>
          <w:rFonts w:ascii="Arial" w:hAnsi="Arial" w:cs="Arial"/>
        </w:rPr>
      </w:pPr>
      <w:r w:rsidRPr="00193FEF">
        <w:rPr>
          <w:rFonts w:ascii="Arial" w:hAnsi="Arial" w:cs="Arial"/>
        </w:rPr>
        <w:t>Producto del análisis realizado</w:t>
      </w:r>
      <w:r w:rsidR="007C2D00">
        <w:rPr>
          <w:rFonts w:ascii="Arial" w:hAnsi="Arial" w:cs="Arial"/>
        </w:rPr>
        <w:t>,</w:t>
      </w:r>
      <w:r w:rsidRPr="00193FEF">
        <w:rPr>
          <w:rFonts w:ascii="Arial" w:hAnsi="Arial" w:cs="Arial"/>
        </w:rPr>
        <w:t xml:space="preserve"> de planteamientos y consultas recibidas de la comunidad institucional, encuentra necesario consultar al </w:t>
      </w:r>
      <w:proofErr w:type="spellStart"/>
      <w:r w:rsidRPr="00193FEF">
        <w:rPr>
          <w:rFonts w:ascii="Arial" w:hAnsi="Arial" w:cs="Arial"/>
        </w:rPr>
        <w:t>CONARE</w:t>
      </w:r>
      <w:proofErr w:type="spellEnd"/>
      <w:r w:rsidRPr="00193FEF">
        <w:rPr>
          <w:rFonts w:ascii="Arial" w:hAnsi="Arial" w:cs="Arial"/>
        </w:rPr>
        <w:t xml:space="preserve"> si la propuesta de reforma al artículo 41 incluye en el tiempo y cuarto que se puede laborar entre instituciones del Estado las ampliaciones de jornadas que las propias universidades puedan realizar a sus funcionarios. Más concretamente, la Comisión de Asuntos Académicos y Estudiantiles acordó recomendar al Consejo Institucional que se consulte al </w:t>
      </w:r>
      <w:proofErr w:type="spellStart"/>
      <w:r w:rsidRPr="00193FEF">
        <w:rPr>
          <w:rFonts w:ascii="Arial" w:hAnsi="Arial" w:cs="Arial"/>
        </w:rPr>
        <w:t>CONARE</w:t>
      </w:r>
      <w:proofErr w:type="spellEnd"/>
      <w:r w:rsidRPr="00193FEF">
        <w:rPr>
          <w:rFonts w:ascii="Arial" w:hAnsi="Arial" w:cs="Arial"/>
        </w:rPr>
        <w:t xml:space="preserve"> lo siguiente:</w:t>
      </w:r>
    </w:p>
    <w:p w:rsidR="00193FEF" w:rsidRPr="00193FEF" w:rsidRDefault="00193FEF" w:rsidP="007C2D00">
      <w:pPr>
        <w:rPr>
          <w:rFonts w:ascii="Arial" w:eastAsia="Calibri" w:hAnsi="Arial" w:cs="Arial"/>
          <w:lang w:val="es-CR"/>
        </w:rPr>
      </w:pPr>
      <w:bookmarkStart w:id="0" w:name="_GoBack"/>
      <w:bookmarkEnd w:id="0"/>
    </w:p>
    <w:p w:rsidR="00193FEF" w:rsidRPr="00193FEF" w:rsidRDefault="00193FEF" w:rsidP="00193FEF">
      <w:pPr>
        <w:numPr>
          <w:ilvl w:val="0"/>
          <w:numId w:val="36"/>
        </w:numPr>
        <w:ind w:right="49"/>
        <w:jc w:val="both"/>
        <w:rPr>
          <w:rFonts w:ascii="Arial" w:hAnsi="Arial" w:cs="Arial"/>
        </w:rPr>
      </w:pPr>
      <w:r w:rsidRPr="00193FEF">
        <w:rPr>
          <w:rFonts w:ascii="Arial" w:hAnsi="Arial" w:cs="Arial"/>
        </w:rPr>
        <w:t>El tiempo y cuarto que permitiría la reforma al Artículo 41 del Convenio entra en conflicto con las disposiciones vigentes en el TEC, que admiten la contratación de funcionarios hasta por 1.5 TC (ampliación de jornada y doble ampliación de jornada)</w:t>
      </w:r>
    </w:p>
    <w:p w:rsidR="00193FEF" w:rsidRPr="00193FEF" w:rsidRDefault="00193FEF" w:rsidP="00193FEF">
      <w:pPr>
        <w:ind w:left="348" w:right="49"/>
        <w:jc w:val="both"/>
        <w:rPr>
          <w:rFonts w:ascii="Arial" w:hAnsi="Arial" w:cs="Arial"/>
        </w:rPr>
      </w:pPr>
    </w:p>
    <w:p w:rsidR="00193FEF" w:rsidRPr="00193FEF" w:rsidRDefault="00193FEF" w:rsidP="00193FEF">
      <w:pPr>
        <w:numPr>
          <w:ilvl w:val="0"/>
          <w:numId w:val="36"/>
        </w:numPr>
        <w:ind w:right="49"/>
        <w:jc w:val="both"/>
        <w:rPr>
          <w:rFonts w:ascii="Arial" w:hAnsi="Arial" w:cs="Arial"/>
        </w:rPr>
      </w:pPr>
      <w:r w:rsidRPr="00193FEF">
        <w:rPr>
          <w:rFonts w:ascii="Arial" w:hAnsi="Arial" w:cs="Arial"/>
        </w:rPr>
        <w:t>Si la norma propuesta permite que un funcionario del TEC con ampliación de jornada de (1.2 TC, 1.25 TC o 1.33 TC), pudiera ser contratado en otra institución estatal por 0.25 TC adicional.</w:t>
      </w:r>
    </w:p>
    <w:p w:rsidR="00193FEF" w:rsidRPr="00193FEF" w:rsidRDefault="00193FEF" w:rsidP="00193FEF">
      <w:pPr>
        <w:rPr>
          <w:rFonts w:ascii="Arial" w:eastAsia="Cambria" w:hAnsi="Arial" w:cs="Arial"/>
          <w:b/>
          <w:lang w:val="es-ES_tradnl" w:eastAsia="en-US"/>
        </w:rPr>
      </w:pPr>
    </w:p>
    <w:p w:rsidR="00193FEF" w:rsidRPr="00193FEF" w:rsidRDefault="00193FEF" w:rsidP="00193FEF">
      <w:pPr>
        <w:rPr>
          <w:rFonts w:ascii="Arial" w:eastAsia="Cambria" w:hAnsi="Arial" w:cs="Arial"/>
          <w:b/>
          <w:lang w:val="es-ES_tradnl" w:eastAsia="en-US"/>
        </w:rPr>
      </w:pPr>
      <w:r w:rsidRPr="00193FEF">
        <w:rPr>
          <w:rFonts w:ascii="Arial" w:eastAsia="Cambria" w:hAnsi="Arial" w:cs="Arial"/>
          <w:b/>
          <w:lang w:val="es-ES_tradnl" w:eastAsia="en-US"/>
        </w:rPr>
        <w:t xml:space="preserve">SE </w:t>
      </w:r>
      <w:r>
        <w:rPr>
          <w:rFonts w:ascii="Arial" w:eastAsia="Cambria" w:hAnsi="Arial" w:cs="Arial"/>
          <w:b/>
          <w:lang w:val="es-ES_tradnl" w:eastAsia="en-US"/>
        </w:rPr>
        <w:t>ACUERDA</w:t>
      </w:r>
      <w:r w:rsidRPr="00193FEF">
        <w:rPr>
          <w:rFonts w:ascii="Arial" w:eastAsia="Cambria" w:hAnsi="Arial" w:cs="Arial"/>
          <w:b/>
          <w:lang w:val="es-ES_tradnl" w:eastAsia="en-US"/>
        </w:rPr>
        <w:t>:</w:t>
      </w:r>
    </w:p>
    <w:p w:rsidR="00193FEF" w:rsidRPr="00193FEF" w:rsidRDefault="00193FEF" w:rsidP="00193FEF">
      <w:pPr>
        <w:rPr>
          <w:rFonts w:ascii="Cambria" w:eastAsia="Cambria" w:hAnsi="Cambria"/>
          <w:b/>
          <w:i/>
          <w:sz w:val="20"/>
          <w:szCs w:val="20"/>
          <w:lang w:val="es-ES_tradnl" w:eastAsia="en-US"/>
        </w:rPr>
      </w:pPr>
    </w:p>
    <w:p w:rsidR="00193FEF" w:rsidRPr="00193FEF" w:rsidRDefault="00193FEF" w:rsidP="00193FEF">
      <w:pPr>
        <w:numPr>
          <w:ilvl w:val="1"/>
          <w:numId w:val="35"/>
        </w:numPr>
        <w:ind w:left="426" w:hanging="284"/>
        <w:jc w:val="both"/>
        <w:rPr>
          <w:rFonts w:ascii="Arial" w:eastAsia="Calibri" w:hAnsi="Arial" w:cs="Arial"/>
          <w:lang w:val="es-CR"/>
        </w:rPr>
      </w:pPr>
      <w:r w:rsidRPr="00193FEF">
        <w:rPr>
          <w:rFonts w:ascii="Arial" w:eastAsia="Calibri" w:hAnsi="Arial" w:cs="Arial"/>
          <w:lang w:val="es-ES_tradnl"/>
        </w:rPr>
        <w:t xml:space="preserve">Solicitar </w:t>
      </w:r>
      <w:r w:rsidRPr="00193FEF">
        <w:rPr>
          <w:rFonts w:ascii="Arial" w:eastAsia="Calibri" w:hAnsi="Arial" w:cs="Arial"/>
          <w:lang w:val="es-CR"/>
        </w:rPr>
        <w:t>al Consejo Nacional de Rectores para que amplíe criterio sobre el texto propuesto de modificación del Artículo 41 del Convenio de Coordinación de la Educación Superior e indique “si la reforma propuesta para el artículo 41 limita también las ampliaciones de jornada en la misma institución”, en función de los siguientes aspectos:</w:t>
      </w:r>
    </w:p>
    <w:p w:rsidR="00193FEF" w:rsidRPr="00193FEF" w:rsidRDefault="00193FEF" w:rsidP="00193FEF">
      <w:pPr>
        <w:ind w:left="426"/>
        <w:jc w:val="both"/>
        <w:rPr>
          <w:rFonts w:ascii="Arial" w:eastAsia="Calibri" w:hAnsi="Arial" w:cs="Arial"/>
          <w:lang w:val="es-CR"/>
        </w:rPr>
      </w:pPr>
    </w:p>
    <w:p w:rsidR="00193FEF" w:rsidRPr="00193FEF" w:rsidRDefault="00193FEF" w:rsidP="00193FEF">
      <w:pPr>
        <w:jc w:val="both"/>
        <w:rPr>
          <w:rFonts w:ascii="Arial" w:eastAsia="Cambria" w:hAnsi="Arial" w:cs="Arial"/>
          <w:lang w:val="es-ES_tradnl" w:eastAsia="en-US"/>
        </w:rPr>
      </w:pPr>
    </w:p>
    <w:p w:rsidR="00193FEF" w:rsidRPr="00193FEF" w:rsidRDefault="00193FEF" w:rsidP="00193FEF">
      <w:pPr>
        <w:numPr>
          <w:ilvl w:val="0"/>
          <w:numId w:val="37"/>
        </w:numPr>
        <w:ind w:right="49"/>
        <w:jc w:val="both"/>
        <w:rPr>
          <w:rFonts w:ascii="Arial" w:hAnsi="Arial" w:cs="Arial"/>
        </w:rPr>
      </w:pPr>
      <w:r w:rsidRPr="00193FEF">
        <w:rPr>
          <w:rFonts w:ascii="Arial" w:hAnsi="Arial" w:cs="Arial"/>
        </w:rPr>
        <w:t>El tiempo y cuarto que permitiría la reforma al Artículo 41 del Convenio entra en conflicto con las disposiciones vigentes en el TEC, que admiten la contratación de funcionarios hasta por 1.5 TC (ampliación de jornada y doble ampliación de jornada)</w:t>
      </w:r>
    </w:p>
    <w:p w:rsidR="00193FEF" w:rsidRPr="00193FEF" w:rsidRDefault="00193FEF" w:rsidP="00193FEF">
      <w:pPr>
        <w:ind w:left="348" w:right="49"/>
        <w:jc w:val="both"/>
        <w:rPr>
          <w:rFonts w:ascii="Arial" w:hAnsi="Arial" w:cs="Arial"/>
        </w:rPr>
      </w:pPr>
    </w:p>
    <w:p w:rsidR="00193FEF" w:rsidRPr="00193FEF" w:rsidRDefault="00193FEF" w:rsidP="00193FEF">
      <w:pPr>
        <w:numPr>
          <w:ilvl w:val="0"/>
          <w:numId w:val="37"/>
        </w:numPr>
        <w:ind w:right="49"/>
        <w:jc w:val="both"/>
        <w:rPr>
          <w:rFonts w:ascii="Arial" w:hAnsi="Arial" w:cs="Arial"/>
        </w:rPr>
      </w:pPr>
      <w:r w:rsidRPr="00193FEF">
        <w:rPr>
          <w:rFonts w:ascii="Arial" w:hAnsi="Arial" w:cs="Arial"/>
        </w:rPr>
        <w:t>Si la norma propuesta permite que un funcionario del TEC con ampliación de jornada de (1.2 TC, 1.25 TC o 1.33 TC), pudiera ser contratado en otra institución estatal por 0.25 TC adicional.</w:t>
      </w:r>
    </w:p>
    <w:p w:rsidR="00193FEF" w:rsidRPr="00193FEF" w:rsidRDefault="00193FEF" w:rsidP="00193FEF">
      <w:pPr>
        <w:ind w:left="360"/>
        <w:jc w:val="both"/>
        <w:rPr>
          <w:rFonts w:ascii="Arial" w:eastAsia="Cambria" w:hAnsi="Arial" w:cs="Arial"/>
          <w:b/>
          <w:lang w:val="es-ES_tradnl" w:eastAsia="en-US"/>
        </w:rPr>
      </w:pPr>
    </w:p>
    <w:p w:rsidR="00193FEF" w:rsidRPr="00193FEF" w:rsidRDefault="00193FEF" w:rsidP="00193FEF">
      <w:pPr>
        <w:numPr>
          <w:ilvl w:val="1"/>
          <w:numId w:val="35"/>
        </w:numPr>
        <w:ind w:left="426" w:hanging="284"/>
        <w:jc w:val="both"/>
        <w:rPr>
          <w:rFonts w:ascii="Arial" w:eastAsia="Calibri" w:hAnsi="Arial" w:cs="Arial"/>
          <w:lang w:val="es-CR"/>
        </w:rPr>
      </w:pPr>
      <w:r w:rsidRPr="00193FEF">
        <w:rPr>
          <w:rFonts w:ascii="Arial" w:eastAsia="Calibri" w:hAnsi="Arial" w:cs="Arial"/>
          <w:lang w:val="es-CR"/>
        </w:rPr>
        <w:t>Indicar al Consejo Nacional de Rectores que para la ampliación de la información, puede convocar al Ing. Luis Paulino Méndez, Vicerrector de Docencia y al Dr. Humberto Villalta, Vicerrector de Administración.</w:t>
      </w:r>
    </w:p>
    <w:p w:rsidR="00193FEF" w:rsidRPr="00193FEF" w:rsidRDefault="00193FEF" w:rsidP="00193FEF">
      <w:pPr>
        <w:jc w:val="both"/>
        <w:rPr>
          <w:rFonts w:ascii="Arial" w:eastAsia="Cambria" w:hAnsi="Arial" w:cs="Arial"/>
          <w:b/>
          <w:sz w:val="22"/>
          <w:szCs w:val="22"/>
          <w:lang w:val="es-ES_tradnl" w:eastAsia="en-US"/>
        </w:rPr>
      </w:pPr>
    </w:p>
    <w:p w:rsidR="006E6AD6" w:rsidRPr="006E6AD6" w:rsidRDefault="007665D1" w:rsidP="00193FEF">
      <w:pPr>
        <w:numPr>
          <w:ilvl w:val="1"/>
          <w:numId w:val="35"/>
        </w:numPr>
        <w:ind w:left="426" w:hanging="284"/>
        <w:jc w:val="both"/>
        <w:rPr>
          <w:rFonts w:ascii="Arial" w:hAnsi="Arial" w:cs="Arial"/>
          <w:b/>
          <w:lang w:val="es-CR"/>
        </w:rPr>
      </w:pPr>
      <w:r>
        <w:rPr>
          <w:rFonts w:ascii="Arial" w:hAnsi="Arial" w:cs="Arial"/>
          <w:lang w:val="es-CR"/>
        </w:rPr>
        <w:t xml:space="preserve">Comunicar.  </w:t>
      </w:r>
      <w:r w:rsidRPr="007665D1">
        <w:rPr>
          <w:rFonts w:ascii="Arial" w:hAnsi="Arial" w:cs="Arial"/>
          <w:b/>
          <w:lang w:val="es-CR"/>
        </w:rPr>
        <w:t xml:space="preserve">ACUERDO FIRME. </w:t>
      </w:r>
    </w:p>
    <w:p w:rsidR="006E6AD6" w:rsidRPr="006E6AD6" w:rsidRDefault="006E6AD6" w:rsidP="006E6AD6">
      <w:pPr>
        <w:ind w:right="-91"/>
        <w:jc w:val="both"/>
        <w:rPr>
          <w:rFonts w:ascii="Arial" w:hAnsi="Arial" w:cs="Arial"/>
          <w:b/>
          <w:sz w:val="22"/>
          <w:szCs w:val="22"/>
          <w:lang w:val="es-CR"/>
        </w:rPr>
      </w:pPr>
    </w:p>
    <w:p w:rsidR="00193FEF" w:rsidRPr="00193FEF" w:rsidRDefault="00193FEF" w:rsidP="00193FEF">
      <w:pPr>
        <w:jc w:val="both"/>
        <w:rPr>
          <w:rFonts w:ascii="Arial" w:eastAsia="Cambria" w:hAnsi="Arial" w:cs="Arial"/>
          <w:b/>
          <w:lang w:val="es-ES_tradnl" w:eastAsia="en-US"/>
        </w:rPr>
      </w:pPr>
      <w:r w:rsidRPr="00193FEF">
        <w:rPr>
          <w:rFonts w:ascii="Arial" w:eastAsia="Cambria" w:hAnsi="Arial" w:cs="Arial"/>
          <w:b/>
          <w:sz w:val="22"/>
          <w:szCs w:val="22"/>
          <w:lang w:val="es-ES_tradnl" w:eastAsia="en-US"/>
        </w:rPr>
        <w:t>Palabras Clave</w:t>
      </w:r>
      <w:proofErr w:type="gramStart"/>
      <w:r w:rsidRPr="00193FEF">
        <w:rPr>
          <w:rFonts w:ascii="Arial" w:eastAsia="Cambria" w:hAnsi="Arial" w:cs="Arial"/>
          <w:b/>
          <w:sz w:val="22"/>
          <w:szCs w:val="22"/>
          <w:lang w:val="es-ES_tradnl" w:eastAsia="en-US"/>
        </w:rPr>
        <w:t>:  Consulta</w:t>
      </w:r>
      <w:proofErr w:type="gramEnd"/>
      <w:r w:rsidRPr="00193FEF">
        <w:rPr>
          <w:rFonts w:ascii="Arial" w:eastAsia="Cambria" w:hAnsi="Arial" w:cs="Arial"/>
          <w:b/>
          <w:sz w:val="22"/>
          <w:szCs w:val="22"/>
          <w:lang w:val="es-ES_tradnl" w:eastAsia="en-US"/>
        </w:rPr>
        <w:t xml:space="preserve"> -</w:t>
      </w:r>
      <w:proofErr w:type="spellStart"/>
      <w:r w:rsidRPr="00193FEF">
        <w:rPr>
          <w:rFonts w:ascii="Arial" w:eastAsia="Cambria" w:hAnsi="Arial" w:cs="Arial"/>
          <w:b/>
          <w:sz w:val="22"/>
          <w:szCs w:val="22"/>
          <w:lang w:val="es-ES_tradnl" w:eastAsia="en-US"/>
        </w:rPr>
        <w:t>CONARE</w:t>
      </w:r>
      <w:proofErr w:type="spellEnd"/>
      <w:r w:rsidRPr="00193FEF">
        <w:rPr>
          <w:rFonts w:ascii="Arial" w:eastAsia="Cambria" w:hAnsi="Arial" w:cs="Arial"/>
          <w:b/>
          <w:sz w:val="22"/>
          <w:szCs w:val="22"/>
          <w:lang w:val="es-ES_tradnl" w:eastAsia="en-US"/>
        </w:rPr>
        <w:t>- Modificación - Artículo 41 - Convenio de Coordinación Educación Superior</w:t>
      </w:r>
      <w:r w:rsidRPr="00193FEF">
        <w:rPr>
          <w:rFonts w:ascii="Arial" w:eastAsia="Cambria" w:hAnsi="Arial" w:cs="Arial"/>
          <w:b/>
          <w:sz w:val="22"/>
          <w:szCs w:val="22"/>
          <w:lang w:val="es-ES_tradnl" w:eastAsia="en-US"/>
        </w:rPr>
        <w:tab/>
        <w:t xml:space="preserve"> </w:t>
      </w:r>
    </w:p>
    <w:p w:rsidR="00193FEF" w:rsidRDefault="00193FEF" w:rsidP="00193FEF">
      <w:pPr>
        <w:jc w:val="both"/>
        <w:rPr>
          <w:rFonts w:ascii="Arial" w:eastAsia="Cambria" w:hAnsi="Arial" w:cs="Arial"/>
          <w:lang w:val="es-ES_tradnl" w:eastAsia="en-US"/>
        </w:rPr>
      </w:pPr>
    </w:p>
    <w:p w:rsidR="006E6AD6" w:rsidRPr="00193FEF" w:rsidRDefault="006E6AD6" w:rsidP="006E6AD6">
      <w:pPr>
        <w:ind w:right="-91"/>
        <w:jc w:val="both"/>
        <w:rPr>
          <w:rFonts w:ascii="Arial" w:hAnsi="Arial" w:cs="Arial"/>
          <w:b/>
          <w:sz w:val="22"/>
          <w:szCs w:val="22"/>
          <w:lang w:val="es-ES_tradnl"/>
        </w:rPr>
      </w:pPr>
    </w:p>
    <w:p w:rsidR="00772438" w:rsidRPr="00772438" w:rsidRDefault="00772438" w:rsidP="00772438">
      <w:pPr>
        <w:ind w:left="360" w:right="-91"/>
        <w:jc w:val="both"/>
        <w:rPr>
          <w:rFonts w:ascii="Arial" w:hAnsi="Arial" w:cs="Arial"/>
        </w:rPr>
      </w:pPr>
    </w:p>
    <w:p w:rsidR="00A20EA7" w:rsidRPr="00A20EA7" w:rsidRDefault="00A20EA7" w:rsidP="00A20EA7">
      <w:pPr>
        <w:jc w:val="both"/>
        <w:rPr>
          <w:rFonts w:ascii="Arial" w:hAnsi="Arial" w:cs="Arial"/>
          <w:lang w:val="es-CR"/>
        </w:rPr>
      </w:pPr>
    </w:p>
    <w:p w:rsidR="00772438" w:rsidRPr="00A20EA7" w:rsidRDefault="00772438" w:rsidP="00772438">
      <w:pPr>
        <w:ind w:left="-567" w:firstLine="567"/>
        <w:jc w:val="both"/>
        <w:rPr>
          <w:rFonts w:ascii="Arial" w:eastAsia="Cambria" w:hAnsi="Arial" w:cs="Arial"/>
          <w:b/>
          <w:sz w:val="16"/>
          <w:szCs w:val="16"/>
          <w:lang w:val="es-CR" w:eastAsia="en-US"/>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22"/>
        <w:gridCol w:w="47"/>
        <w:gridCol w:w="175"/>
        <w:gridCol w:w="222"/>
        <w:gridCol w:w="222"/>
        <w:gridCol w:w="222"/>
      </w:tblGrid>
      <w:tr w:rsidR="009652B4" w:rsidTr="00FF595A">
        <w:trPr>
          <w:gridAfter w:val="3"/>
          <w:wAfter w:w="931" w:type="dxa"/>
          <w:trHeight w:val="183"/>
        </w:trPr>
        <w:tc>
          <w:tcPr>
            <w:tcW w:w="4361" w:type="dxa"/>
          </w:tcPr>
          <w:p w:rsidR="009652B4" w:rsidRDefault="009652B4" w:rsidP="00FF595A">
            <w:pPr>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r w:rsidR="009652B4" w:rsidTr="00FF595A">
        <w:trPr>
          <w:gridAfter w:val="4"/>
          <w:wAfter w:w="5292" w:type="dxa"/>
          <w:trHeight w:val="183"/>
        </w:trPr>
        <w:tc>
          <w:tcPr>
            <w:tcW w:w="4361" w:type="dxa"/>
          </w:tcPr>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9652B4" w:rsidTr="00FF595A">
              <w:trPr>
                <w:trHeight w:val="183"/>
              </w:trPr>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r w:rsidR="009652B4" w:rsidTr="00FF595A">
              <w:trPr>
                <w:gridAfter w:val="1"/>
                <w:wAfter w:w="4361" w:type="dxa"/>
                <w:trHeight w:val="183"/>
              </w:trPr>
              <w:tc>
                <w:tcPr>
                  <w:tcW w:w="4361" w:type="dxa"/>
                </w:tcPr>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9652B4" w:rsidRDefault="009652B4"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9652B4" w:rsidRDefault="009652B4" w:rsidP="00FF595A">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tc>
              <w:tc>
                <w:tcPr>
                  <w:tcW w:w="4361" w:type="dxa"/>
                </w:tcPr>
                <w:p w:rsidR="009652B4" w:rsidRDefault="009652B4"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9652B4" w:rsidRDefault="009652B4"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9652B4" w:rsidRDefault="009652B4"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9652B4" w:rsidRDefault="009652B4"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9652B4" w:rsidRDefault="009652B4" w:rsidP="00FF595A">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9652B4" w:rsidRDefault="009652B4" w:rsidP="00FF595A">
                  <w:pPr>
                    <w:jc w:val="both"/>
                    <w:rPr>
                      <w:rFonts w:ascii="Arial" w:eastAsia="Cambria" w:hAnsi="Arial" w:cs="Arial"/>
                      <w:b/>
                      <w:sz w:val="16"/>
                      <w:szCs w:val="16"/>
                      <w:lang w:val="es-ES_tradnl" w:eastAsia="en-US"/>
                    </w:rPr>
                  </w:pPr>
                </w:p>
                <w:p w:rsidR="009652B4" w:rsidRDefault="009652B4" w:rsidP="00FF595A">
                  <w:pPr>
                    <w:rPr>
                      <w:rFonts w:ascii="Arial" w:eastAsia="Cambria" w:hAnsi="Arial" w:cs="Arial"/>
                      <w:b/>
                      <w:sz w:val="16"/>
                      <w:szCs w:val="16"/>
                      <w:lang w:val="es-CR"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bl>
          <w:p w:rsidR="009652B4" w:rsidRDefault="009652B4" w:rsidP="00FF595A">
            <w:pPr>
              <w:rPr>
                <w:rFonts w:ascii="Arial" w:eastAsia="Cambria" w:hAnsi="Arial" w:cs="Arial"/>
                <w:b/>
                <w:sz w:val="16"/>
                <w:szCs w:val="16"/>
                <w:lang w:val="es-CR" w:eastAsia="en-US"/>
              </w:rPr>
            </w:pPr>
          </w:p>
        </w:tc>
        <w:tc>
          <w:tcPr>
            <w:tcW w:w="4361" w:type="dxa"/>
          </w:tcPr>
          <w:p w:rsidR="009652B4" w:rsidRDefault="009652B4" w:rsidP="00FF595A">
            <w:pPr>
              <w:rPr>
                <w:rFonts w:ascii="Arial" w:eastAsia="Cambria" w:hAnsi="Arial" w:cs="Arial"/>
                <w:b/>
                <w:sz w:val="16"/>
                <w:szCs w:val="16"/>
                <w:lang w:val="es-CR" w:eastAsia="en-US"/>
              </w:rPr>
            </w:pPr>
          </w:p>
        </w:tc>
        <w:tc>
          <w:tcPr>
            <w:tcW w:w="4361" w:type="dxa"/>
          </w:tcPr>
          <w:p w:rsidR="009652B4" w:rsidRDefault="009652B4" w:rsidP="00FF595A">
            <w:pPr>
              <w:jc w:val="both"/>
              <w:rPr>
                <w:rFonts w:ascii="Arial" w:eastAsia="Cambria" w:hAnsi="Arial" w:cs="Arial"/>
                <w:b/>
                <w:sz w:val="16"/>
                <w:szCs w:val="16"/>
                <w:lang w:val="es-ES_tradnl" w:eastAsia="en-US"/>
              </w:rPr>
            </w:pPr>
          </w:p>
        </w:tc>
        <w:tc>
          <w:tcPr>
            <w:tcW w:w="5103" w:type="dxa"/>
            <w:gridSpan w:val="2"/>
          </w:tcPr>
          <w:p w:rsidR="009652B4" w:rsidRDefault="009652B4" w:rsidP="00FF595A">
            <w:pPr>
              <w:jc w:val="both"/>
              <w:rPr>
                <w:rFonts w:ascii="Arial" w:eastAsia="Cambria" w:hAnsi="Arial" w:cs="Arial"/>
                <w:b/>
                <w:sz w:val="16"/>
                <w:szCs w:val="16"/>
                <w:lang w:val="es-ES_tradnl" w:eastAsia="en-US"/>
              </w:rPr>
            </w:pPr>
          </w:p>
        </w:tc>
      </w:tr>
      <w:tr w:rsidR="009652B4" w:rsidRPr="00474B22" w:rsidTr="00FF595A">
        <w:trPr>
          <w:trHeight w:val="183"/>
        </w:trPr>
        <w:tc>
          <w:tcPr>
            <w:tcW w:w="22763" w:type="dxa"/>
            <w:gridSpan w:val="6"/>
          </w:tcPr>
          <w:p w:rsidR="009652B4" w:rsidRPr="00474B22" w:rsidRDefault="009652B4" w:rsidP="00FF595A">
            <w:pPr>
              <w:ind w:left="-567" w:firstLine="567"/>
              <w:jc w:val="both"/>
              <w:rPr>
                <w:rFonts w:ascii="Arial" w:eastAsia="Cambria" w:hAnsi="Arial" w:cs="Arial"/>
                <w:b/>
                <w:sz w:val="16"/>
                <w:szCs w:val="16"/>
                <w:lang w:val="es-ES_tradnl" w:eastAsia="en-US"/>
              </w:rPr>
            </w:pPr>
          </w:p>
        </w:tc>
        <w:tc>
          <w:tcPr>
            <w:tcW w:w="222" w:type="dxa"/>
          </w:tcPr>
          <w:p w:rsidR="009652B4" w:rsidRPr="00474B22" w:rsidRDefault="009652B4" w:rsidP="00FF595A">
            <w:pPr>
              <w:rPr>
                <w:rFonts w:ascii="Arial" w:eastAsia="Cambria" w:hAnsi="Arial" w:cs="Arial"/>
                <w:b/>
                <w:sz w:val="16"/>
                <w:szCs w:val="16"/>
                <w:lang w:val="es-CR" w:eastAsia="en-US"/>
              </w:rPr>
            </w:pPr>
          </w:p>
        </w:tc>
        <w:tc>
          <w:tcPr>
            <w:tcW w:w="222" w:type="dxa"/>
          </w:tcPr>
          <w:p w:rsidR="009652B4" w:rsidRPr="00474B22" w:rsidRDefault="009652B4" w:rsidP="00FF595A">
            <w:pPr>
              <w:jc w:val="both"/>
              <w:rPr>
                <w:rFonts w:ascii="Arial" w:eastAsia="Cambria" w:hAnsi="Arial" w:cs="Arial"/>
                <w:b/>
                <w:sz w:val="16"/>
                <w:szCs w:val="16"/>
                <w:lang w:val="es-ES_tradnl" w:eastAsia="en-US"/>
              </w:rPr>
            </w:pPr>
          </w:p>
        </w:tc>
        <w:tc>
          <w:tcPr>
            <w:tcW w:w="271" w:type="dxa"/>
          </w:tcPr>
          <w:p w:rsidR="009652B4" w:rsidRPr="00474B22" w:rsidRDefault="009652B4" w:rsidP="00FF595A">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58" w:rsidRDefault="002D5458">
      <w:r>
        <w:separator/>
      </w:r>
    </w:p>
  </w:endnote>
  <w:endnote w:type="continuationSeparator" w:id="0">
    <w:p w:rsidR="002D5458" w:rsidRDefault="002D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58" w:rsidRDefault="002D5458">
      <w:r>
        <w:separator/>
      </w:r>
    </w:p>
  </w:footnote>
  <w:footnote w:type="continuationSeparator" w:id="0">
    <w:p w:rsidR="002D5458" w:rsidRDefault="002D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32AAB">
      <w:rPr>
        <w:rFonts w:ascii="Arial" w:eastAsia="Cambria" w:hAnsi="Arial" w:cs="Arial"/>
        <w:i/>
        <w:sz w:val="18"/>
        <w:szCs w:val="18"/>
        <w:lang w:val="es-ES_tradnl" w:eastAsia="x-none"/>
      </w:rPr>
      <w:t>3</w:t>
    </w:r>
    <w:r w:rsidR="00193FEF">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6E6AD6">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E6AD6">
      <w:rPr>
        <w:rFonts w:ascii="Arial" w:eastAsia="Cambria" w:hAnsi="Arial" w:cs="Arial"/>
        <w:i/>
        <w:sz w:val="18"/>
        <w:szCs w:val="18"/>
        <w:lang w:val="es-ES_tradnl" w:eastAsia="x-none"/>
      </w:rPr>
      <w:t>0</w:t>
    </w:r>
    <w:r w:rsidR="00193FEF">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 xml:space="preserve"> de </w:t>
    </w:r>
    <w:r w:rsidR="006E6AD6">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C2D0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D673D27"/>
    <w:multiLevelType w:val="hybridMultilevel"/>
    <w:tmpl w:val="6CB84570"/>
    <w:lvl w:ilvl="0" w:tplc="140A0001">
      <w:start w:val="1"/>
      <w:numFmt w:val="bullet"/>
      <w:lvlText w:val=""/>
      <w:lvlJc w:val="left"/>
      <w:pPr>
        <w:ind w:left="4188" w:hanging="360"/>
      </w:pPr>
      <w:rPr>
        <w:rFonts w:ascii="Symbol" w:hAnsi="Symbol"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7"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0353D7"/>
    <w:multiLevelType w:val="hybridMultilevel"/>
    <w:tmpl w:val="2026D462"/>
    <w:lvl w:ilvl="0" w:tplc="7236E97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A26C0F"/>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3F1182"/>
    <w:multiLevelType w:val="hybridMultilevel"/>
    <w:tmpl w:val="AB042294"/>
    <w:lvl w:ilvl="0" w:tplc="140A000D">
      <w:start w:val="1"/>
      <w:numFmt w:val="bullet"/>
      <w:lvlText w:val=""/>
      <w:lvlJc w:val="left"/>
      <w:pPr>
        <w:ind w:left="1068" w:hanging="360"/>
      </w:pPr>
      <w:rPr>
        <w:rFonts w:ascii="Wingdings" w:hAnsi="Wingding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9" w15:restartNumberingAfterBreak="0">
    <w:nsid w:val="43B53C64"/>
    <w:multiLevelType w:val="multilevel"/>
    <w:tmpl w:val="1BECB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824FDD"/>
    <w:multiLevelType w:val="hybridMultilevel"/>
    <w:tmpl w:val="1C9E34D4"/>
    <w:lvl w:ilvl="0" w:tplc="7AA8EE2E">
      <w:start w:val="1"/>
      <w:numFmt w:val="decimal"/>
      <w:lvlText w:val="%1."/>
      <w:lvlJc w:val="left"/>
      <w:pPr>
        <w:ind w:left="720" w:hanging="360"/>
      </w:pPr>
      <w:rPr>
        <w:b/>
      </w:rPr>
    </w:lvl>
    <w:lvl w:ilvl="1" w:tplc="FA8EAAF8">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49951499"/>
    <w:multiLevelType w:val="hybridMultilevel"/>
    <w:tmpl w:val="7C728520"/>
    <w:lvl w:ilvl="0" w:tplc="B1E2DCD4">
      <w:start w:val="1"/>
      <w:numFmt w:val="decimal"/>
      <w:lvlText w:val="%1."/>
      <w:lvlJc w:val="left"/>
      <w:pPr>
        <w:tabs>
          <w:tab w:val="num" w:pos="720"/>
        </w:tabs>
        <w:ind w:left="720" w:hanging="360"/>
      </w:pPr>
      <w:rPr>
        <w:rFonts w:ascii="Arial" w:hAnsi="Arial" w:cs="Arial" w:hint="default"/>
        <w:b/>
        <w:i w:val="0"/>
        <w:color w:val="000000"/>
        <w:sz w:val="24"/>
        <w:szCs w:val="24"/>
      </w:rPr>
    </w:lvl>
    <w:lvl w:ilvl="1" w:tplc="78B06F26">
      <w:start w:val="18"/>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79C383E"/>
    <w:multiLevelType w:val="multilevel"/>
    <w:tmpl w:val="DC4A9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5"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6"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CEC5D64"/>
    <w:multiLevelType w:val="hybridMultilevel"/>
    <w:tmpl w:val="D318E652"/>
    <w:lvl w:ilvl="0" w:tplc="60B21C56">
      <w:start w:val="1"/>
      <w:numFmt w:val="lowerLetter"/>
      <w:lvlText w:val="%1."/>
      <w:lvlJc w:val="left"/>
      <w:pPr>
        <w:ind w:left="5606" w:hanging="360"/>
      </w:pPr>
      <w:rPr>
        <w:b/>
        <w:strike w:val="0"/>
        <w:sz w:val="24"/>
        <w:szCs w:val="24"/>
      </w:rPr>
    </w:lvl>
    <w:lvl w:ilvl="1" w:tplc="140A0019">
      <w:start w:val="1"/>
      <w:numFmt w:val="lowerLetter"/>
      <w:lvlText w:val="%2."/>
      <w:lvlJc w:val="left"/>
      <w:pPr>
        <w:ind w:left="6326" w:hanging="360"/>
      </w:pPr>
    </w:lvl>
    <w:lvl w:ilvl="2" w:tplc="140A001B" w:tentative="1">
      <w:start w:val="1"/>
      <w:numFmt w:val="lowerRoman"/>
      <w:lvlText w:val="%3."/>
      <w:lvlJc w:val="right"/>
      <w:pPr>
        <w:ind w:left="7046" w:hanging="180"/>
      </w:pPr>
    </w:lvl>
    <w:lvl w:ilvl="3" w:tplc="140A000F" w:tentative="1">
      <w:start w:val="1"/>
      <w:numFmt w:val="decimal"/>
      <w:lvlText w:val="%4."/>
      <w:lvlJc w:val="left"/>
      <w:pPr>
        <w:ind w:left="7766" w:hanging="360"/>
      </w:pPr>
    </w:lvl>
    <w:lvl w:ilvl="4" w:tplc="140A0019" w:tentative="1">
      <w:start w:val="1"/>
      <w:numFmt w:val="lowerLetter"/>
      <w:lvlText w:val="%5."/>
      <w:lvlJc w:val="left"/>
      <w:pPr>
        <w:ind w:left="8486" w:hanging="360"/>
      </w:pPr>
    </w:lvl>
    <w:lvl w:ilvl="5" w:tplc="140A001B" w:tentative="1">
      <w:start w:val="1"/>
      <w:numFmt w:val="lowerRoman"/>
      <w:lvlText w:val="%6."/>
      <w:lvlJc w:val="right"/>
      <w:pPr>
        <w:ind w:left="9206" w:hanging="180"/>
      </w:pPr>
    </w:lvl>
    <w:lvl w:ilvl="6" w:tplc="140A000F" w:tentative="1">
      <w:start w:val="1"/>
      <w:numFmt w:val="decimal"/>
      <w:lvlText w:val="%7."/>
      <w:lvlJc w:val="left"/>
      <w:pPr>
        <w:ind w:left="9926" w:hanging="360"/>
      </w:pPr>
    </w:lvl>
    <w:lvl w:ilvl="7" w:tplc="140A0019" w:tentative="1">
      <w:start w:val="1"/>
      <w:numFmt w:val="lowerLetter"/>
      <w:lvlText w:val="%8."/>
      <w:lvlJc w:val="left"/>
      <w:pPr>
        <w:ind w:left="10646" w:hanging="360"/>
      </w:pPr>
    </w:lvl>
    <w:lvl w:ilvl="8" w:tplc="140A001B" w:tentative="1">
      <w:start w:val="1"/>
      <w:numFmt w:val="lowerRoman"/>
      <w:lvlText w:val="%9."/>
      <w:lvlJc w:val="right"/>
      <w:pPr>
        <w:ind w:left="11366" w:hanging="180"/>
      </w:pPr>
    </w:lvl>
  </w:abstractNum>
  <w:abstractNum w:abstractNumId="28"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702F1053"/>
    <w:multiLevelType w:val="multilevel"/>
    <w:tmpl w:val="F4002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2" w15:restartNumberingAfterBreak="0">
    <w:nsid w:val="751D28A6"/>
    <w:multiLevelType w:val="hybridMultilevel"/>
    <w:tmpl w:val="79E0F2AE"/>
    <w:lvl w:ilvl="0" w:tplc="6A329154">
      <w:start w:val="1"/>
      <w:numFmt w:val="lowerLetter"/>
      <w:lvlText w:val="%1."/>
      <w:lvlJc w:val="left"/>
      <w:pPr>
        <w:tabs>
          <w:tab w:val="num" w:pos="360"/>
        </w:tabs>
        <w:ind w:left="360" w:hanging="360"/>
      </w:pPr>
      <w:rPr>
        <w:rFonts w:ascii="Arial" w:hAnsi="Arial" w:hint="default"/>
        <w:b/>
        <w:i w:val="0"/>
        <w:sz w:val="24"/>
        <w:szCs w:val="24"/>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177CD3"/>
    <w:multiLevelType w:val="hybridMultilevel"/>
    <w:tmpl w:val="5F409A8C"/>
    <w:lvl w:ilvl="0" w:tplc="F91E888A">
      <w:start w:val="1"/>
      <w:numFmt w:val="lowerLetter"/>
      <w:lvlText w:val="%1."/>
      <w:lvlJc w:val="left"/>
      <w:pPr>
        <w:ind w:left="1068" w:hanging="360"/>
      </w:pPr>
      <w:rPr>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4" w15:restartNumberingAfterBreak="0">
    <w:nsid w:val="7C261EE5"/>
    <w:multiLevelType w:val="hybridMultilevel"/>
    <w:tmpl w:val="B1CEC5BE"/>
    <w:lvl w:ilvl="0" w:tplc="2A4278DE">
      <w:start w:val="1"/>
      <w:numFmt w:val="lowerLetter"/>
      <w:lvlText w:val="%1."/>
      <w:lvlJc w:val="left"/>
      <w:pPr>
        <w:ind w:left="1426" w:hanging="360"/>
      </w:pPr>
      <w:rPr>
        <w:rFonts w:cs="Times New Roman" w:hint="default"/>
        <w:b/>
        <w:i w:val="0"/>
        <w:sz w:val="24"/>
        <w:szCs w:val="24"/>
      </w:rPr>
    </w:lvl>
    <w:lvl w:ilvl="1" w:tplc="140A0019" w:tentative="1">
      <w:start w:val="1"/>
      <w:numFmt w:val="lowerLetter"/>
      <w:lvlText w:val="%2."/>
      <w:lvlJc w:val="left"/>
      <w:pPr>
        <w:ind w:left="2146" w:hanging="360"/>
      </w:pPr>
    </w:lvl>
    <w:lvl w:ilvl="2" w:tplc="140A001B" w:tentative="1">
      <w:start w:val="1"/>
      <w:numFmt w:val="lowerRoman"/>
      <w:lvlText w:val="%3."/>
      <w:lvlJc w:val="right"/>
      <w:pPr>
        <w:ind w:left="2866" w:hanging="180"/>
      </w:pPr>
    </w:lvl>
    <w:lvl w:ilvl="3" w:tplc="140A000F" w:tentative="1">
      <w:start w:val="1"/>
      <w:numFmt w:val="decimal"/>
      <w:lvlText w:val="%4."/>
      <w:lvlJc w:val="left"/>
      <w:pPr>
        <w:ind w:left="3586" w:hanging="360"/>
      </w:pPr>
    </w:lvl>
    <w:lvl w:ilvl="4" w:tplc="140A0019" w:tentative="1">
      <w:start w:val="1"/>
      <w:numFmt w:val="lowerLetter"/>
      <w:lvlText w:val="%5."/>
      <w:lvlJc w:val="left"/>
      <w:pPr>
        <w:ind w:left="4306" w:hanging="360"/>
      </w:pPr>
    </w:lvl>
    <w:lvl w:ilvl="5" w:tplc="140A001B" w:tentative="1">
      <w:start w:val="1"/>
      <w:numFmt w:val="lowerRoman"/>
      <w:lvlText w:val="%6."/>
      <w:lvlJc w:val="right"/>
      <w:pPr>
        <w:ind w:left="5026" w:hanging="180"/>
      </w:pPr>
    </w:lvl>
    <w:lvl w:ilvl="6" w:tplc="140A000F" w:tentative="1">
      <w:start w:val="1"/>
      <w:numFmt w:val="decimal"/>
      <w:lvlText w:val="%7."/>
      <w:lvlJc w:val="left"/>
      <w:pPr>
        <w:ind w:left="5746" w:hanging="360"/>
      </w:pPr>
    </w:lvl>
    <w:lvl w:ilvl="7" w:tplc="140A0019" w:tentative="1">
      <w:start w:val="1"/>
      <w:numFmt w:val="lowerLetter"/>
      <w:lvlText w:val="%8."/>
      <w:lvlJc w:val="left"/>
      <w:pPr>
        <w:ind w:left="6466" w:hanging="360"/>
      </w:pPr>
    </w:lvl>
    <w:lvl w:ilvl="8" w:tplc="140A001B" w:tentative="1">
      <w:start w:val="1"/>
      <w:numFmt w:val="lowerRoman"/>
      <w:lvlText w:val="%9."/>
      <w:lvlJc w:val="right"/>
      <w:pPr>
        <w:ind w:left="7186" w:hanging="180"/>
      </w:pPr>
    </w:lvl>
  </w:abstractNum>
  <w:abstractNum w:abstractNumId="35" w15:restartNumberingAfterBreak="0">
    <w:nsid w:val="7D561769"/>
    <w:multiLevelType w:val="hybridMultilevel"/>
    <w:tmpl w:val="515C9CE8"/>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12"/>
  </w:num>
  <w:num w:numId="4">
    <w:abstractNumId w:val="24"/>
  </w:num>
  <w:num w:numId="5">
    <w:abstractNumId w:val="27"/>
  </w:num>
  <w:num w:numId="6">
    <w:abstractNumId w:val="22"/>
  </w:num>
  <w:num w:numId="7">
    <w:abstractNumId w:val="1"/>
  </w:num>
  <w:num w:numId="8">
    <w:abstractNumId w:val="5"/>
  </w:num>
  <w:num w:numId="9">
    <w:abstractNumId w:val="36"/>
  </w:num>
  <w:num w:numId="10">
    <w:abstractNumId w:val="26"/>
  </w:num>
  <w:num w:numId="11">
    <w:abstractNumId w:val="30"/>
  </w:num>
  <w:num w:numId="12">
    <w:abstractNumId w:val="31"/>
  </w:num>
  <w:num w:numId="13">
    <w:abstractNumId w:val="25"/>
  </w:num>
  <w:num w:numId="14">
    <w:abstractNumId w:val="28"/>
  </w:num>
  <w:num w:numId="15">
    <w:abstractNumId w:val="13"/>
  </w:num>
  <w:num w:numId="16">
    <w:abstractNumId w:val="3"/>
  </w:num>
  <w:num w:numId="17">
    <w:abstractNumId w:val="17"/>
  </w:num>
  <w:num w:numId="18">
    <w:abstractNumId w:val="16"/>
  </w:num>
  <w:num w:numId="19">
    <w:abstractNumId w:val="15"/>
  </w:num>
  <w:num w:numId="20">
    <w:abstractNumId w:val="11"/>
  </w:num>
  <w:num w:numId="21">
    <w:abstractNumId w:val="4"/>
  </w:num>
  <w:num w:numId="22">
    <w:abstractNumId w:val="21"/>
  </w:num>
  <w:num w:numId="23">
    <w:abstractNumId w:val="32"/>
  </w:num>
  <w:num w:numId="24">
    <w:abstractNumId w:val="29"/>
  </w:num>
  <w:num w:numId="25">
    <w:abstractNumId w:val="23"/>
  </w:num>
  <w:num w:numId="26">
    <w:abstractNumId w:val="19"/>
  </w:num>
  <w:num w:numId="27">
    <w:abstractNumId w:val="10"/>
  </w:num>
  <w:num w:numId="28">
    <w:abstractNumId w:val="8"/>
  </w:num>
  <w:num w:numId="29">
    <w:abstractNumId w:val="6"/>
  </w:num>
  <w:num w:numId="30">
    <w:abstractNumId w:val="14"/>
  </w:num>
  <w:num w:numId="31">
    <w:abstractNumId w:val="34"/>
  </w:num>
  <w:num w:numId="32">
    <w:abstractNumId w:val="9"/>
  </w:num>
  <w:num w:numId="33">
    <w:abstractNumId w:val="7"/>
  </w:num>
  <w:num w:numId="34">
    <w:abstractNumId w:val="3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585B"/>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2459"/>
    <w:rsid w:val="001644B1"/>
    <w:rsid w:val="00165556"/>
    <w:rsid w:val="00165902"/>
    <w:rsid w:val="00165B51"/>
    <w:rsid w:val="00165C83"/>
    <w:rsid w:val="00165F34"/>
    <w:rsid w:val="00166375"/>
    <w:rsid w:val="00171AC3"/>
    <w:rsid w:val="001746E5"/>
    <w:rsid w:val="0018030A"/>
    <w:rsid w:val="001806C4"/>
    <w:rsid w:val="00182124"/>
    <w:rsid w:val="00184CD7"/>
    <w:rsid w:val="00187E00"/>
    <w:rsid w:val="00193FEF"/>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5458"/>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BCD"/>
    <w:rsid w:val="0040799C"/>
    <w:rsid w:val="00407FF0"/>
    <w:rsid w:val="00411530"/>
    <w:rsid w:val="00411531"/>
    <w:rsid w:val="00411F04"/>
    <w:rsid w:val="00412158"/>
    <w:rsid w:val="004161F8"/>
    <w:rsid w:val="00416909"/>
    <w:rsid w:val="00416BD5"/>
    <w:rsid w:val="0042189A"/>
    <w:rsid w:val="004227AA"/>
    <w:rsid w:val="004246F4"/>
    <w:rsid w:val="00424D7C"/>
    <w:rsid w:val="00425E89"/>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253B"/>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05F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D4642"/>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EA9"/>
    <w:rsid w:val="0068346A"/>
    <w:rsid w:val="006842AD"/>
    <w:rsid w:val="006851C8"/>
    <w:rsid w:val="0068595E"/>
    <w:rsid w:val="006862AA"/>
    <w:rsid w:val="006871B3"/>
    <w:rsid w:val="00691130"/>
    <w:rsid w:val="006938F4"/>
    <w:rsid w:val="006976E0"/>
    <w:rsid w:val="006A0355"/>
    <w:rsid w:val="006A0409"/>
    <w:rsid w:val="006A0667"/>
    <w:rsid w:val="006A2068"/>
    <w:rsid w:val="006A2A49"/>
    <w:rsid w:val="006A2B9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E6AD6"/>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2AAB"/>
    <w:rsid w:val="00733178"/>
    <w:rsid w:val="00734993"/>
    <w:rsid w:val="007369BA"/>
    <w:rsid w:val="00740752"/>
    <w:rsid w:val="0074284B"/>
    <w:rsid w:val="00744C74"/>
    <w:rsid w:val="0075179A"/>
    <w:rsid w:val="00751AB1"/>
    <w:rsid w:val="007553D4"/>
    <w:rsid w:val="00760AD1"/>
    <w:rsid w:val="00761133"/>
    <w:rsid w:val="007619FB"/>
    <w:rsid w:val="00763AF2"/>
    <w:rsid w:val="007665D1"/>
    <w:rsid w:val="00772438"/>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2D00"/>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859A4"/>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41FEE"/>
    <w:rsid w:val="009526A4"/>
    <w:rsid w:val="00953CA5"/>
    <w:rsid w:val="0096004A"/>
    <w:rsid w:val="00961770"/>
    <w:rsid w:val="00962660"/>
    <w:rsid w:val="00963F04"/>
    <w:rsid w:val="00964B8E"/>
    <w:rsid w:val="009651B9"/>
    <w:rsid w:val="009652B4"/>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4238"/>
    <w:rsid w:val="00A1609F"/>
    <w:rsid w:val="00A20EA7"/>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97FD5"/>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2D5F"/>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4EB2"/>
    <w:rsid w:val="00C909AC"/>
    <w:rsid w:val="00C93118"/>
    <w:rsid w:val="00C93AE1"/>
    <w:rsid w:val="00C940BF"/>
    <w:rsid w:val="00C947EB"/>
    <w:rsid w:val="00C95610"/>
    <w:rsid w:val="00C95715"/>
    <w:rsid w:val="00C971F9"/>
    <w:rsid w:val="00C97317"/>
    <w:rsid w:val="00CA3E94"/>
    <w:rsid w:val="00CA406B"/>
    <w:rsid w:val="00CA7F9E"/>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34C"/>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7DB4"/>
    <w:rsid w:val="00DB11AA"/>
    <w:rsid w:val="00DB4191"/>
    <w:rsid w:val="00DC17C3"/>
    <w:rsid w:val="00DC2CBA"/>
    <w:rsid w:val="00DC33A5"/>
    <w:rsid w:val="00DC33AD"/>
    <w:rsid w:val="00DC34D3"/>
    <w:rsid w:val="00DC4940"/>
    <w:rsid w:val="00DC495A"/>
    <w:rsid w:val="00DC5266"/>
    <w:rsid w:val="00DC6D5E"/>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5928-4040-4FBE-9EB9-CB76E71E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122</cp:revision>
  <cp:lastPrinted>2017-08-09T20:26:00Z</cp:lastPrinted>
  <dcterms:created xsi:type="dcterms:W3CDTF">2016-10-05T20:00:00Z</dcterms:created>
  <dcterms:modified xsi:type="dcterms:W3CDTF">2017-08-10T14:55:00Z</dcterms:modified>
</cp:coreProperties>
</file>