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6A2B99" w:rsidRDefault="006A2B99"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97BFD">
        <w:rPr>
          <w:rFonts w:ascii="Arial" w:hAnsi="Arial" w:cs="Arial"/>
          <w:b/>
          <w:bCs/>
          <w:iCs/>
          <w:sz w:val="26"/>
          <w:szCs w:val="22"/>
          <w:lang w:val="es-CR"/>
        </w:rPr>
        <w:t>459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772438" w:rsidRDefault="00162459" w:rsidP="0077243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772438" w:rsidRPr="000661B6">
              <w:rPr>
                <w:rFonts w:ascii="Arial" w:eastAsia="Cambria" w:hAnsi="Arial" w:cs="Arial"/>
                <w:sz w:val="22"/>
                <w:szCs w:val="22"/>
                <w:lang w:val="es-ES_tradnl" w:eastAsia="en-US"/>
              </w:rPr>
              <w:t>, Rector</w:t>
            </w:r>
            <w:r w:rsidR="00772438">
              <w:rPr>
                <w:rFonts w:ascii="Arial" w:eastAsia="Cambria" w:hAnsi="Arial" w:cs="Arial"/>
                <w:sz w:val="22"/>
                <w:szCs w:val="22"/>
                <w:lang w:val="es-ES_tradnl" w:eastAsia="en-US"/>
              </w:rPr>
              <w:t xml:space="preserve"> </w:t>
            </w:r>
            <w:r w:rsidR="00772438" w:rsidRPr="000661B6">
              <w:rPr>
                <w:rFonts w:ascii="Arial" w:eastAsia="Cambria" w:hAnsi="Arial" w:cs="Arial"/>
                <w:sz w:val="22"/>
                <w:szCs w:val="22"/>
                <w:lang w:val="es-ES_tradnl" w:eastAsia="en-US"/>
              </w:rPr>
              <w:t xml:space="preserve"> </w:t>
            </w:r>
          </w:p>
          <w:p w:rsidR="00997BFD" w:rsidRDefault="00997BFD" w:rsidP="0077243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Humberto Villalta Solano, Vicerrector de Administración</w:t>
            </w:r>
          </w:p>
          <w:p w:rsidR="00997BFD" w:rsidRDefault="00997BFD" w:rsidP="0077243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Isidro Álvarez Salazar, Auditor Interno</w:t>
            </w:r>
          </w:p>
          <w:p w:rsidR="004C05F3" w:rsidRPr="004C05F3" w:rsidRDefault="004C05F3" w:rsidP="00997BF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6777AF" w:rsidP="006777A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772438" w:rsidRDefault="007742A1" w:rsidP="007742A1">
            <w:pPr>
              <w:rPr>
                <w:rFonts w:ascii="Arial" w:eastAsia="SimSun" w:hAnsi="Arial" w:cs="Arial"/>
                <w:sz w:val="22"/>
                <w:szCs w:val="22"/>
                <w:lang w:val="es-CR"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62459" w:rsidRDefault="007742A1" w:rsidP="006777AF">
            <w:pPr>
              <w:jc w:val="both"/>
              <w:rPr>
                <w:rFonts w:ascii="Arial" w:eastAsia="Calibri" w:hAnsi="Arial" w:cs="Arial"/>
                <w:b/>
                <w:sz w:val="22"/>
                <w:szCs w:val="22"/>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62459">
              <w:rPr>
                <w:rFonts w:ascii="Arial" w:eastAsia="Calibri" w:hAnsi="Arial" w:cs="Arial"/>
                <w:b/>
                <w:sz w:val="22"/>
                <w:szCs w:val="22"/>
              </w:rPr>
              <w:t>3</w:t>
            </w:r>
            <w:r w:rsidR="006777AF">
              <w:rPr>
                <w:rFonts w:ascii="Arial" w:eastAsia="Calibri" w:hAnsi="Arial" w:cs="Arial"/>
                <w:b/>
                <w:sz w:val="22"/>
                <w:szCs w:val="22"/>
              </w:rPr>
              <w:t>2</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A20EA7">
              <w:rPr>
                <w:rFonts w:ascii="Arial" w:eastAsia="Calibri" w:hAnsi="Arial" w:cs="Arial"/>
                <w:b/>
                <w:sz w:val="22"/>
                <w:szCs w:val="22"/>
              </w:rPr>
              <w:t>10</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6777AF">
              <w:rPr>
                <w:rFonts w:ascii="Arial" w:eastAsia="Calibri" w:hAnsi="Arial" w:cs="Arial"/>
                <w:b/>
                <w:sz w:val="22"/>
                <w:szCs w:val="22"/>
              </w:rPr>
              <w:t>03</w:t>
            </w:r>
            <w:r w:rsidRPr="00A2484D">
              <w:rPr>
                <w:rFonts w:ascii="Arial" w:eastAsia="Calibri" w:hAnsi="Arial" w:cs="Arial"/>
                <w:b/>
                <w:sz w:val="22"/>
                <w:szCs w:val="22"/>
              </w:rPr>
              <w:t xml:space="preserve"> de </w:t>
            </w:r>
            <w:r w:rsidR="006777AF">
              <w:rPr>
                <w:rFonts w:ascii="Arial" w:eastAsia="Calibri" w:hAnsi="Arial" w:cs="Arial"/>
                <w:b/>
                <w:sz w:val="22"/>
                <w:szCs w:val="22"/>
              </w:rPr>
              <w:t>agosto</w:t>
            </w:r>
            <w:r w:rsidR="007A2D73" w:rsidRPr="00A2484D">
              <w:rPr>
                <w:rFonts w:ascii="Arial" w:eastAsia="Calibri" w:hAnsi="Arial" w:cs="Arial"/>
                <w:b/>
                <w:sz w:val="22"/>
                <w:szCs w:val="22"/>
              </w:rPr>
              <w:t xml:space="preserve"> </w:t>
            </w:r>
            <w:r w:rsidR="00A772EF" w:rsidRPr="00A2484D">
              <w:rPr>
                <w:rFonts w:ascii="Arial" w:eastAsia="Calibri" w:hAnsi="Arial" w:cs="Arial"/>
                <w:b/>
                <w:sz w:val="22"/>
                <w:szCs w:val="22"/>
              </w:rPr>
              <w:t>de 2017</w:t>
            </w:r>
            <w:r w:rsidR="001E08C0" w:rsidRPr="00A2484D">
              <w:rPr>
                <w:rFonts w:ascii="Arial" w:eastAsia="Calibri" w:hAnsi="Arial" w:cs="Arial"/>
                <w:b/>
                <w:sz w:val="22"/>
                <w:szCs w:val="22"/>
              </w:rPr>
              <w:t xml:space="preserve">.  </w:t>
            </w:r>
            <w:r w:rsidR="006777AF">
              <w:rPr>
                <w:rFonts w:ascii="Arial" w:eastAsia="Calibri" w:hAnsi="Arial" w:cs="Arial"/>
                <w:b/>
                <w:sz w:val="22"/>
                <w:szCs w:val="22"/>
              </w:rPr>
              <w:t xml:space="preserve">Asignación de Recursos Presupuestarios a la Auditoría Interna para el 2018 </w:t>
            </w:r>
          </w:p>
          <w:p w:rsidR="006777AF" w:rsidRDefault="006777AF" w:rsidP="006777AF">
            <w:pPr>
              <w:jc w:val="both"/>
              <w:rPr>
                <w:rFonts w:ascii="Arial" w:eastAsia="Calibri" w:hAnsi="Arial" w:cs="Arial"/>
                <w:b/>
                <w:sz w:val="22"/>
                <w:szCs w:val="22"/>
              </w:rPr>
            </w:pPr>
          </w:p>
          <w:p w:rsidR="006777AF" w:rsidRPr="00A2484D" w:rsidRDefault="006777AF" w:rsidP="006777AF">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97BFD" w:rsidRDefault="00997BFD" w:rsidP="007742A1">
      <w:pPr>
        <w:jc w:val="both"/>
        <w:rPr>
          <w:rFonts w:ascii="Arial" w:eastAsia="Cambria" w:hAnsi="Arial" w:cs="Arial"/>
          <w:lang w:val="es-ES_tradnl" w:eastAsia="en-US"/>
        </w:rPr>
      </w:pPr>
    </w:p>
    <w:p w:rsidR="00997BFD" w:rsidRPr="00997BFD" w:rsidRDefault="00997BFD" w:rsidP="00997BFD">
      <w:pPr>
        <w:rPr>
          <w:rFonts w:ascii="Arial" w:hAnsi="Arial" w:cs="Arial"/>
          <w:b/>
        </w:rPr>
      </w:pPr>
      <w:r w:rsidRPr="00997BFD">
        <w:rPr>
          <w:rFonts w:ascii="Arial" w:hAnsi="Arial" w:cs="Arial"/>
          <w:b/>
        </w:rPr>
        <w:t>RESULTANDO QUE:</w:t>
      </w:r>
    </w:p>
    <w:p w:rsidR="00997BFD" w:rsidRPr="00997BFD" w:rsidRDefault="00997BFD" w:rsidP="00997BFD">
      <w:pPr>
        <w:rPr>
          <w:rFonts w:ascii="Arial" w:hAnsi="Arial" w:cs="Arial"/>
          <w:b/>
        </w:rPr>
      </w:pPr>
    </w:p>
    <w:p w:rsidR="00997BFD" w:rsidRPr="00997BFD" w:rsidRDefault="00997BFD" w:rsidP="00997BFD">
      <w:pPr>
        <w:numPr>
          <w:ilvl w:val="0"/>
          <w:numId w:val="29"/>
        </w:numPr>
        <w:ind w:left="426" w:hanging="426"/>
        <w:jc w:val="both"/>
        <w:rPr>
          <w:rFonts w:ascii="Arial" w:hAnsi="Arial" w:cs="Arial"/>
        </w:rPr>
      </w:pPr>
      <w:r w:rsidRPr="00997BFD">
        <w:rPr>
          <w:rFonts w:ascii="Arial" w:hAnsi="Arial" w:cs="Arial"/>
        </w:rPr>
        <w:t xml:space="preserve">La Ley General de  Control Interno, No. 8292,  en su Artículo 27,  establece: </w:t>
      </w:r>
    </w:p>
    <w:p w:rsidR="00997BFD" w:rsidRPr="00997BFD" w:rsidRDefault="00997BFD" w:rsidP="00997BFD">
      <w:pPr>
        <w:jc w:val="both"/>
        <w:rPr>
          <w:rFonts w:ascii="Arial" w:hAnsi="Arial" w:cs="Arial"/>
        </w:rPr>
      </w:pPr>
    </w:p>
    <w:p w:rsidR="00997BFD" w:rsidRPr="00997BFD" w:rsidRDefault="00997BFD" w:rsidP="00997BFD">
      <w:pPr>
        <w:ind w:left="709" w:right="423"/>
        <w:jc w:val="both"/>
        <w:rPr>
          <w:rFonts w:ascii="Arial" w:hAnsi="Arial" w:cs="Arial"/>
          <w:i/>
          <w:sz w:val="22"/>
          <w:szCs w:val="22"/>
        </w:rPr>
      </w:pPr>
      <w:r w:rsidRPr="00997BFD">
        <w:rPr>
          <w:rFonts w:ascii="Arial" w:hAnsi="Arial" w:cs="Arial"/>
          <w:i/>
          <w:sz w:val="22"/>
          <w:szCs w:val="22"/>
        </w:rPr>
        <w:t xml:space="preserve">“Asignación de recursos </w:t>
      </w:r>
    </w:p>
    <w:p w:rsidR="00997BFD" w:rsidRPr="00997BFD" w:rsidRDefault="00997BFD" w:rsidP="00997BFD">
      <w:pPr>
        <w:ind w:left="709" w:right="423"/>
        <w:jc w:val="both"/>
        <w:rPr>
          <w:rFonts w:ascii="Arial" w:hAnsi="Arial" w:cs="Arial"/>
          <w:i/>
          <w:sz w:val="22"/>
          <w:szCs w:val="22"/>
        </w:rPr>
      </w:pPr>
    </w:p>
    <w:p w:rsidR="00997BFD" w:rsidRPr="00997BFD" w:rsidRDefault="00997BFD" w:rsidP="00997BFD">
      <w:pPr>
        <w:ind w:left="709" w:right="423"/>
        <w:jc w:val="both"/>
        <w:rPr>
          <w:rFonts w:ascii="Arial" w:hAnsi="Arial" w:cs="Arial"/>
          <w:i/>
          <w:sz w:val="22"/>
          <w:szCs w:val="22"/>
        </w:rPr>
      </w:pPr>
      <w:r w:rsidRPr="00997BFD">
        <w:rPr>
          <w:rFonts w:ascii="Arial" w:hAnsi="Arial" w:cs="Arial"/>
          <w:i/>
          <w:sz w:val="22"/>
          <w:szCs w:val="22"/>
        </w:rPr>
        <w:t xml:space="preserve">El jerarca de los entes y órganos sujetos a esta Ley deberá asignar los recursos humanos, materiales, tecnológicos, de transporte y otros necesarios y suficientes para que la auditoría interna pueda cumplir su gestión. </w:t>
      </w:r>
    </w:p>
    <w:p w:rsidR="00997BFD" w:rsidRPr="00997BFD" w:rsidRDefault="00997BFD" w:rsidP="00997BFD">
      <w:pPr>
        <w:ind w:left="709" w:right="423"/>
        <w:jc w:val="both"/>
        <w:rPr>
          <w:rFonts w:ascii="Arial" w:hAnsi="Arial" w:cs="Arial"/>
          <w:i/>
          <w:sz w:val="22"/>
          <w:szCs w:val="22"/>
        </w:rPr>
      </w:pPr>
      <w:r w:rsidRPr="00997BFD">
        <w:rPr>
          <w:rFonts w:ascii="Arial" w:hAnsi="Arial" w:cs="Arial"/>
          <w:i/>
          <w:sz w:val="22"/>
          <w:szCs w:val="22"/>
        </w:rPr>
        <w:t xml:space="preserve">Para efectos presupuestarios, se dará a la auditoría interna una categoría programática; para la asignación y disposición de sus recursos, se tomarán en cuenta el criterio del auditor interno y las instrucciones que emita al respecto la Contraloría General de la República. </w:t>
      </w:r>
    </w:p>
    <w:p w:rsidR="00997BFD" w:rsidRPr="00997BFD" w:rsidRDefault="00997BFD" w:rsidP="00997BFD">
      <w:pPr>
        <w:ind w:left="709" w:right="423"/>
        <w:jc w:val="both"/>
        <w:rPr>
          <w:rFonts w:ascii="Arial" w:hAnsi="Arial" w:cs="Arial"/>
          <w:i/>
          <w:sz w:val="22"/>
          <w:szCs w:val="22"/>
        </w:rPr>
      </w:pPr>
      <w:r w:rsidRPr="00997BFD">
        <w:rPr>
          <w:rFonts w:ascii="Arial" w:hAnsi="Arial" w:cs="Arial"/>
          <w:i/>
          <w:sz w:val="22"/>
          <w:szCs w:val="22"/>
        </w:rPr>
        <w:t>La auditoría interna ejecutará su presupuesto, conforme lo determinen sus necesidades para cumplir su plan de trabajo.”</w:t>
      </w:r>
    </w:p>
    <w:p w:rsidR="00997BFD" w:rsidRPr="00997BFD" w:rsidRDefault="00997BFD" w:rsidP="00997BFD">
      <w:pPr>
        <w:ind w:left="709" w:right="423"/>
        <w:jc w:val="both"/>
        <w:rPr>
          <w:rFonts w:ascii="Arial" w:hAnsi="Arial" w:cs="Arial"/>
          <w:i/>
          <w:sz w:val="22"/>
          <w:szCs w:val="22"/>
        </w:rPr>
      </w:pPr>
    </w:p>
    <w:p w:rsidR="00997BFD" w:rsidRPr="00997BFD" w:rsidRDefault="00997BFD" w:rsidP="00997BFD">
      <w:pPr>
        <w:numPr>
          <w:ilvl w:val="0"/>
          <w:numId w:val="29"/>
        </w:numPr>
        <w:ind w:left="426" w:hanging="426"/>
        <w:jc w:val="both"/>
        <w:rPr>
          <w:rFonts w:ascii="Arial" w:eastAsia="Cambria" w:hAnsi="Arial" w:cs="Arial"/>
          <w:lang w:val="es-ES_tradnl" w:eastAsia="en-US"/>
        </w:rPr>
      </w:pPr>
      <w:r w:rsidRPr="00997BFD">
        <w:rPr>
          <w:rFonts w:ascii="Arial" w:eastAsia="Cambria" w:hAnsi="Arial" w:cs="Arial"/>
          <w:lang w:val="es-ES_tradnl" w:eastAsia="en-US"/>
        </w:rPr>
        <w:t xml:space="preserve"> Las Directrices para la Solicitud y Asignación de Recursos a las Auditorías Internas </w:t>
      </w:r>
      <w:r w:rsidRPr="00997BFD">
        <w:rPr>
          <w:rFonts w:ascii="Arial" w:eastAsia="Cambria" w:hAnsi="Arial" w:cs="Arial"/>
          <w:bCs/>
          <w:lang w:val="es-ES_tradnl" w:eastAsia="en-US"/>
        </w:rPr>
        <w:t>(</w:t>
      </w:r>
      <w:r w:rsidRPr="00997BFD">
        <w:rPr>
          <w:rFonts w:ascii="Arial" w:eastAsia="Cambria" w:hAnsi="Arial" w:cs="Arial"/>
          <w:bCs/>
          <w:lang w:eastAsia="en-US"/>
        </w:rPr>
        <w:t>Resolución No. R-DC-</w:t>
      </w:r>
      <w:r w:rsidRPr="00997BFD">
        <w:rPr>
          <w:rFonts w:ascii="Arial" w:eastAsia="Cambria" w:hAnsi="Arial" w:cs="Arial"/>
          <w:bCs/>
          <w:lang w:val="es-ES_tradnl" w:eastAsia="en-US"/>
        </w:rPr>
        <w:t>0</w:t>
      </w:r>
      <w:r w:rsidRPr="00997BFD">
        <w:rPr>
          <w:rFonts w:ascii="Arial" w:eastAsia="Cambria" w:hAnsi="Arial" w:cs="Arial"/>
          <w:bCs/>
          <w:lang w:eastAsia="en-US"/>
        </w:rPr>
        <w:t>10-2015</w:t>
      </w:r>
      <w:r w:rsidRPr="00997BFD">
        <w:rPr>
          <w:rFonts w:ascii="Arial" w:eastAsia="Cambria" w:hAnsi="Arial" w:cs="Arial"/>
          <w:bCs/>
          <w:lang w:val="es-ES_tradnl" w:eastAsia="en-US"/>
        </w:rPr>
        <w:t xml:space="preserve"> Contraloría General de la República Despacho Contralor</w:t>
      </w:r>
      <w:r w:rsidRPr="00997BFD">
        <w:rPr>
          <w:rFonts w:ascii="Arial" w:eastAsia="Cambria" w:hAnsi="Arial" w:cs="Arial"/>
          <w:bCs/>
          <w:lang w:eastAsia="en-US"/>
        </w:rPr>
        <w:t>, de 6 de</w:t>
      </w:r>
      <w:r w:rsidRPr="00997BFD">
        <w:rPr>
          <w:rFonts w:ascii="Arial" w:eastAsia="Cambria" w:hAnsi="Arial" w:cs="Arial"/>
          <w:bCs/>
          <w:lang w:val="es-ES_tradnl" w:eastAsia="en-US"/>
        </w:rPr>
        <w:t>l</w:t>
      </w:r>
      <w:r w:rsidRPr="00997BFD">
        <w:rPr>
          <w:rFonts w:ascii="Arial" w:eastAsia="Cambria" w:hAnsi="Arial" w:cs="Arial"/>
          <w:bCs/>
          <w:lang w:eastAsia="en-US"/>
        </w:rPr>
        <w:t xml:space="preserve"> febrero del 2015. Publicadas en La Gaceta N° 48, del 10 de marzo del 2015), entre otros establecen:</w:t>
      </w:r>
    </w:p>
    <w:p w:rsidR="00997BFD" w:rsidRPr="00997BFD" w:rsidRDefault="00997BFD" w:rsidP="00997BFD">
      <w:pPr>
        <w:jc w:val="both"/>
        <w:rPr>
          <w:rFonts w:ascii="Arial" w:eastAsia="Cambria" w:hAnsi="Arial" w:cs="Arial"/>
          <w:sz w:val="22"/>
          <w:szCs w:val="22"/>
          <w:lang w:val="es-ES_tradnl" w:eastAsia="en-US"/>
        </w:rPr>
      </w:pPr>
    </w:p>
    <w:p w:rsidR="00997BFD" w:rsidRPr="00997BFD" w:rsidRDefault="00997BFD" w:rsidP="00997BFD">
      <w:pPr>
        <w:ind w:left="709" w:right="423"/>
        <w:jc w:val="both"/>
        <w:rPr>
          <w:rFonts w:ascii="Arial" w:hAnsi="Arial" w:cs="Arial"/>
          <w:i/>
          <w:sz w:val="22"/>
          <w:szCs w:val="22"/>
        </w:rPr>
      </w:pPr>
      <w:r w:rsidRPr="00997BFD">
        <w:rPr>
          <w:rFonts w:ascii="Arial" w:eastAsia="Cambria" w:hAnsi="Arial" w:cs="Arial"/>
          <w:b/>
          <w:bCs/>
          <w:i/>
          <w:iCs/>
          <w:sz w:val="21"/>
          <w:szCs w:val="21"/>
          <w:lang w:val="es-ES_tradnl" w:eastAsia="en-US"/>
        </w:rPr>
        <w:t>“1</w:t>
      </w:r>
      <w:r w:rsidRPr="00997BFD">
        <w:rPr>
          <w:rFonts w:ascii="Arial" w:hAnsi="Arial" w:cs="Arial"/>
          <w:b/>
          <w:i/>
          <w:sz w:val="22"/>
          <w:szCs w:val="22"/>
        </w:rPr>
        <w:t>.4 Regulación interna</w:t>
      </w:r>
      <w:r w:rsidRPr="00997BFD">
        <w:rPr>
          <w:rFonts w:ascii="Arial" w:hAnsi="Arial" w:cs="Arial"/>
          <w:i/>
          <w:sz w:val="22"/>
          <w:szCs w:val="22"/>
        </w:rPr>
        <w:t xml:space="preserve"> Corresponderá al jerarca promulgar las disposiciones institucionales para regular el procedimiento, los plazos y el trámite interno de las solicitudes de dotación de recursos para la Auditoría Interna, ya sea mediante una regulación específica o incorporando en las existentes los diferentes tópicos contemplados en estas directrices. A los efectos, procederá la coordinación pertinente con la Auditoría Interna durante la preparación de las regulaciones.</w:t>
      </w:r>
    </w:p>
    <w:p w:rsidR="00997BFD" w:rsidRPr="00997BFD" w:rsidRDefault="00997BFD" w:rsidP="00997BFD">
      <w:pPr>
        <w:ind w:right="333"/>
        <w:jc w:val="both"/>
        <w:rPr>
          <w:rFonts w:ascii="Arial" w:eastAsia="Cambria" w:hAnsi="Arial" w:cs="Arial"/>
          <w:b/>
          <w:i/>
          <w:lang w:val="es-ES_tradnl" w:eastAsia="en-US"/>
        </w:rPr>
      </w:pPr>
    </w:p>
    <w:p w:rsidR="00997BFD" w:rsidRPr="00997BFD" w:rsidRDefault="00997BFD" w:rsidP="00997BFD">
      <w:pPr>
        <w:ind w:left="709" w:right="423"/>
        <w:jc w:val="both"/>
        <w:rPr>
          <w:rFonts w:ascii="Arial" w:hAnsi="Arial" w:cs="Arial"/>
          <w:i/>
          <w:sz w:val="22"/>
          <w:szCs w:val="22"/>
        </w:rPr>
      </w:pPr>
      <w:r w:rsidRPr="00997BFD">
        <w:rPr>
          <w:rFonts w:ascii="Arial" w:eastAsia="Cambria" w:hAnsi="Arial" w:cs="Arial"/>
          <w:b/>
          <w:i/>
          <w:sz w:val="22"/>
          <w:szCs w:val="22"/>
          <w:lang w:val="es-ES_tradnl" w:eastAsia="en-US"/>
        </w:rPr>
        <w:t>2.1 Preparación del estudio técnico por la Auditoría Interna</w:t>
      </w:r>
      <w:r w:rsidRPr="00997BFD">
        <w:rPr>
          <w:rFonts w:ascii="Arial" w:eastAsia="Cambria" w:hAnsi="Arial" w:cs="Arial"/>
          <w:b/>
          <w:i/>
          <w:lang w:val="es-ES_tradnl" w:eastAsia="en-US"/>
        </w:rPr>
        <w:t xml:space="preserve"> </w:t>
      </w:r>
      <w:r w:rsidRPr="00997BFD">
        <w:rPr>
          <w:rFonts w:ascii="Arial" w:hAnsi="Arial" w:cs="Arial"/>
          <w:i/>
          <w:sz w:val="22"/>
          <w:szCs w:val="22"/>
        </w:rPr>
        <w:t xml:space="preserve">Corresponde a la Auditoría Interna determinar técnicamente sus necesidades de recursos, mediante un estudio que considere al menos su ámbito de acción, los riesgos asociados a </w:t>
      </w:r>
      <w:r w:rsidRPr="00997BFD">
        <w:rPr>
          <w:rFonts w:ascii="Arial" w:hAnsi="Arial" w:cs="Arial"/>
          <w:i/>
          <w:sz w:val="22"/>
          <w:szCs w:val="22"/>
        </w:rPr>
        <w:lastRenderedPageBreak/>
        <w:t>los elementos de su universo de auditoría, el ciclo de auditoría y el comportamiento histórico de los recursos institucionales y de la Auditoría Interna, así como el volumen de actividades que ésta ha desarrollado y pretende desarrollar. El estudio debe estipular, como resultado, la cantidad y las características de los recursos requeridos para el ejercicio de la actividad de auditoría interna, con la cobertura y el alcance debidos, así como una identificación de los riesgos que asume el jerarca si la</w:t>
      </w:r>
      <w:r w:rsidRPr="00997BFD">
        <w:rPr>
          <w:rFonts w:ascii="Arial" w:eastAsia="Cambria" w:hAnsi="Arial" w:cs="Arial"/>
          <w:i/>
          <w:lang w:val="es-ES_tradnl" w:eastAsia="en-US"/>
        </w:rPr>
        <w:t xml:space="preserve"> </w:t>
      </w:r>
      <w:r w:rsidRPr="00997BFD">
        <w:rPr>
          <w:rFonts w:ascii="Arial" w:hAnsi="Arial" w:cs="Arial"/>
          <w:i/>
          <w:sz w:val="22"/>
          <w:szCs w:val="22"/>
        </w:rPr>
        <w:t>dotación de recursos de la Auditoría Interna no es suficiente. El estudio deberá actualizarse cuando las circunstancias así lo determinen o el Auditor Interno lo considere pertinente.</w:t>
      </w:r>
    </w:p>
    <w:p w:rsidR="00997BFD" w:rsidRPr="00997BFD" w:rsidRDefault="00997BFD" w:rsidP="00997BFD">
      <w:pPr>
        <w:ind w:right="333"/>
        <w:jc w:val="both"/>
        <w:rPr>
          <w:rFonts w:ascii="Arial" w:eastAsia="Cambria" w:hAnsi="Arial" w:cs="Arial"/>
          <w:lang w:val="es-ES_tradnl" w:eastAsia="en-US"/>
        </w:rPr>
      </w:pPr>
    </w:p>
    <w:p w:rsidR="00997BFD" w:rsidRPr="00997BFD" w:rsidRDefault="00997BFD" w:rsidP="00997BFD">
      <w:pPr>
        <w:ind w:left="709" w:right="423"/>
        <w:jc w:val="both"/>
        <w:rPr>
          <w:rFonts w:ascii="Arial" w:hAnsi="Arial" w:cs="Arial"/>
          <w:i/>
          <w:sz w:val="22"/>
          <w:szCs w:val="22"/>
        </w:rPr>
      </w:pPr>
      <w:r w:rsidRPr="00997BFD">
        <w:rPr>
          <w:rFonts w:ascii="Arial" w:eastAsia="Cambria" w:hAnsi="Arial" w:cs="Arial"/>
          <w:b/>
          <w:i/>
          <w:sz w:val="22"/>
          <w:szCs w:val="22"/>
          <w:lang w:val="es-ES_tradnl" w:eastAsia="en-US"/>
        </w:rPr>
        <w:t>2.3 Trámite de la solicitud por el jerarca</w:t>
      </w:r>
      <w:r w:rsidRPr="00997BFD">
        <w:rPr>
          <w:rFonts w:ascii="Arial" w:eastAsia="Cambria" w:hAnsi="Arial" w:cs="Arial"/>
          <w:b/>
          <w:i/>
          <w:lang w:val="es-ES_tradnl" w:eastAsia="en-US"/>
        </w:rPr>
        <w:t xml:space="preserve"> </w:t>
      </w:r>
      <w:r w:rsidRPr="00997BFD">
        <w:rPr>
          <w:rFonts w:ascii="Arial" w:hAnsi="Arial" w:cs="Arial"/>
          <w:i/>
          <w:sz w:val="22"/>
          <w:szCs w:val="22"/>
        </w:rPr>
        <w:t>El jerarca debe analizar la solicitud de recursos que le plantea la Auditoría Interna, considerando el estudio técnico que la sustenta, así como el marco normativo, el presupuesto institucional y cualquier otro factor que se estime relevante, y resolverla dentro del plazo que se establezca en la regulación interna a que se refiere la directriz 1.4. Podrá asesorarse por los funcionarios de la institución cuyo criterio y apoyo estime pertinente requerir, incluido el titular de la Auditoría Interna cuando proceda para efectos de adición o aclaración. El jerarca debe hacer la asignación respectiva considerando las necesidades expuestas, de conformidad con las políticas y regulaciones internas y externas sobre plazo y criterios para la asignación de recursos. No deberá supeditarse la decisión a otra instancia,</w:t>
      </w:r>
      <w:r w:rsidRPr="00997BFD">
        <w:rPr>
          <w:rFonts w:ascii="Arial" w:eastAsia="Cambria" w:hAnsi="Arial" w:cs="Arial"/>
          <w:b/>
          <w:i/>
          <w:lang w:val="es-ES_tradnl" w:eastAsia="en-US"/>
        </w:rPr>
        <w:t xml:space="preserve"> </w:t>
      </w:r>
      <w:r w:rsidRPr="00997BFD">
        <w:rPr>
          <w:rFonts w:ascii="Arial" w:eastAsia="Cambria" w:hAnsi="Arial" w:cs="Arial"/>
          <w:i/>
          <w:sz w:val="22"/>
          <w:szCs w:val="22"/>
          <w:lang w:val="es-ES_tradnl" w:eastAsia="en-US"/>
        </w:rPr>
        <w:t>a fin de proteger la independencia funcional y de criterio de la Auditoría Interna.</w:t>
      </w:r>
      <w:r w:rsidRPr="00997BFD">
        <w:rPr>
          <w:rFonts w:ascii="Arial" w:eastAsia="Cambria" w:hAnsi="Arial" w:cs="Arial"/>
          <w:i/>
          <w:lang w:val="es-ES_tradnl" w:eastAsia="en-US"/>
        </w:rPr>
        <w:t xml:space="preserve"> </w:t>
      </w:r>
      <w:r w:rsidRPr="00997BFD">
        <w:rPr>
          <w:rFonts w:ascii="Arial" w:hAnsi="Arial" w:cs="Arial"/>
          <w:i/>
          <w:sz w:val="22"/>
          <w:szCs w:val="22"/>
        </w:rPr>
        <w:t>En caso de que existan restricciones o limitaciones de orden presupuestario técnicamente justificadas y documentadas, que no hagan factible solventar en su totalidad las necesidades de recursos que plantea la Auditoría Interna, el jerarca deberá dialogar con ésta a fin de convenir sobre la dotación que podría concederse, de modo que se garantice que esa unidad se desempeñe de manera eficiente y eficaz, y se cubran hasta donde sea posible sus necesidades reales. Si el jerarca otorga a la Auditoría Interna los recursos solicitados, o si se logra un acuerdo entre el jerarca y la Auditoría Interna sobre una dotación menor debidamente justificada, el jerarca debe instruir a las instancias de la entidad para que emprendan las acciones a fin de obtener y brindar esos recursos, incluyendo la coordinación con las entidades externas que tengan injerencia sobre la asignación de recursos a la institución como un todo.”</w:t>
      </w:r>
    </w:p>
    <w:p w:rsidR="00997BFD" w:rsidRPr="00997BFD" w:rsidRDefault="00997BFD" w:rsidP="00997BFD">
      <w:pPr>
        <w:ind w:right="423"/>
        <w:jc w:val="both"/>
        <w:rPr>
          <w:rFonts w:ascii="Arial" w:hAnsi="Arial" w:cs="Arial"/>
          <w:i/>
          <w:sz w:val="22"/>
          <w:szCs w:val="22"/>
        </w:rPr>
      </w:pPr>
    </w:p>
    <w:p w:rsidR="00997BFD" w:rsidRPr="00997BFD" w:rsidRDefault="00997BFD" w:rsidP="00997BFD">
      <w:pPr>
        <w:ind w:right="423"/>
        <w:jc w:val="both"/>
        <w:rPr>
          <w:rFonts w:ascii="Arial" w:hAnsi="Arial" w:cs="Arial"/>
          <w:b/>
        </w:rPr>
      </w:pPr>
      <w:r w:rsidRPr="00997BFD">
        <w:rPr>
          <w:rFonts w:ascii="Arial" w:hAnsi="Arial" w:cs="Arial"/>
          <w:b/>
        </w:rPr>
        <w:t>CONSIDERANDO QUE:</w:t>
      </w:r>
    </w:p>
    <w:p w:rsidR="00997BFD" w:rsidRPr="00997BFD" w:rsidRDefault="00997BFD" w:rsidP="00997BFD">
      <w:pPr>
        <w:ind w:right="423"/>
        <w:jc w:val="both"/>
        <w:rPr>
          <w:rFonts w:ascii="Arial" w:hAnsi="Arial" w:cs="Arial"/>
          <w:i/>
          <w:sz w:val="16"/>
          <w:szCs w:val="16"/>
        </w:rPr>
      </w:pPr>
    </w:p>
    <w:p w:rsidR="00997BFD" w:rsidRPr="00997BFD" w:rsidRDefault="00997BFD" w:rsidP="00997BFD">
      <w:pPr>
        <w:numPr>
          <w:ilvl w:val="0"/>
          <w:numId w:val="31"/>
        </w:numPr>
        <w:jc w:val="both"/>
        <w:rPr>
          <w:rFonts w:ascii="Arial" w:hAnsi="Arial" w:cs="Arial"/>
        </w:rPr>
      </w:pPr>
      <w:r w:rsidRPr="00997BFD">
        <w:rPr>
          <w:rFonts w:ascii="Arial" w:hAnsi="Arial" w:cs="Arial"/>
        </w:rPr>
        <w:t xml:space="preserve"> La Secretaría del Consejo Institucional recibe oficio AUDI-129-2017, con fecha de recibido 23 de junio de 2017, suscrito por el Lic. Isidro Álvarez Salazar, Auditor Interno, dirigido al Dr. Julio Calvo Alvarado, Presidente del Consejo Institucional, con copia al Ing. Alexander Valerín, Coordinador de la Comisión de Planificación y Administración, en el cual indica que en atención a una actividad contemplada en el Plan Anual de Trabajo 2017, con el propósito de atender lo dispuesto en el artículo 27 de la Ley General de Control Interno; en las Directrices para la solicitud y asignación de recursos a las Auditorías Internas y en el artículo 16 del Reglamento de Organización y Funcionamiento de esta Auditoría Interna (ITCR), se adjunta el informe técnico referente al estudio sobre necesidades de recursos presupuestarios de la Auditoría Interna para el año 2018.</w:t>
      </w:r>
    </w:p>
    <w:p w:rsidR="00997BFD" w:rsidRPr="00997BFD" w:rsidRDefault="00997BFD" w:rsidP="00997BFD">
      <w:pPr>
        <w:jc w:val="both"/>
        <w:rPr>
          <w:rFonts w:ascii="Arial" w:hAnsi="Arial" w:cs="Arial"/>
        </w:rPr>
      </w:pPr>
    </w:p>
    <w:p w:rsidR="00997BFD" w:rsidRPr="00997BFD" w:rsidRDefault="00997BFD" w:rsidP="00997BFD">
      <w:pPr>
        <w:numPr>
          <w:ilvl w:val="0"/>
          <w:numId w:val="31"/>
        </w:numPr>
        <w:ind w:left="426" w:hanging="426"/>
        <w:jc w:val="both"/>
        <w:rPr>
          <w:rFonts w:ascii="Arial" w:eastAsia="Cambria" w:hAnsi="Arial" w:cs="Arial"/>
          <w:lang w:val="es-ES_tradnl" w:eastAsia="en-US"/>
        </w:rPr>
      </w:pPr>
      <w:r w:rsidRPr="00997BFD">
        <w:rPr>
          <w:rFonts w:ascii="Arial" w:eastAsia="Cambria" w:hAnsi="Arial" w:cs="Arial"/>
          <w:lang w:val="es-ES_tradnl" w:eastAsia="en-US"/>
        </w:rPr>
        <w:t>Los puntos 9 y 10 de dicho estudio indican:</w:t>
      </w:r>
    </w:p>
    <w:p w:rsidR="00997BFD" w:rsidRPr="00997BFD" w:rsidRDefault="00997BFD" w:rsidP="00997BFD">
      <w:pPr>
        <w:jc w:val="both"/>
        <w:rPr>
          <w:rFonts w:ascii="Arial" w:hAnsi="Arial" w:cs="Arial"/>
          <w:bCs/>
          <w:i/>
          <w:sz w:val="16"/>
          <w:szCs w:val="16"/>
          <w:lang w:val="es-ES_tradnl"/>
        </w:rPr>
      </w:pPr>
    </w:p>
    <w:p w:rsidR="00997BFD" w:rsidRPr="00997BFD" w:rsidRDefault="00997BFD" w:rsidP="00997BFD">
      <w:pPr>
        <w:tabs>
          <w:tab w:val="num" w:pos="1560"/>
        </w:tabs>
        <w:ind w:left="851"/>
        <w:jc w:val="both"/>
        <w:rPr>
          <w:rFonts w:ascii="Arial" w:eastAsia="Cambria" w:hAnsi="Arial" w:cs="Arial"/>
          <w:b/>
          <w:i/>
          <w:sz w:val="22"/>
          <w:szCs w:val="22"/>
          <w:lang w:val="es-ES_tradnl" w:eastAsia="en-US"/>
        </w:rPr>
      </w:pPr>
      <w:r w:rsidRPr="00997BFD">
        <w:rPr>
          <w:rFonts w:ascii="Arial" w:eastAsia="Cambria" w:hAnsi="Arial" w:cs="Arial"/>
          <w:b/>
          <w:i/>
          <w:sz w:val="22"/>
          <w:szCs w:val="22"/>
          <w:lang w:val="es-ES_tradnl" w:eastAsia="en-US"/>
        </w:rPr>
        <w:t>“9. NECESIDAD DE RECURSOS PRESUPUESTARIOS PARA EL 2018</w:t>
      </w:r>
    </w:p>
    <w:p w:rsidR="00997BFD" w:rsidRPr="00997BFD" w:rsidRDefault="00997BFD" w:rsidP="00997BFD">
      <w:pPr>
        <w:ind w:left="993" w:right="418"/>
        <w:jc w:val="both"/>
        <w:rPr>
          <w:rFonts w:ascii="Arial" w:eastAsia="Cambria" w:hAnsi="Arial" w:cs="Arial"/>
          <w:bCs/>
          <w:i/>
          <w:sz w:val="22"/>
          <w:lang w:val="es-ES_tradnl" w:eastAsia="en-US"/>
        </w:rPr>
      </w:pPr>
      <w:r w:rsidRPr="00997BFD">
        <w:rPr>
          <w:rFonts w:ascii="Arial" w:eastAsia="Cambria" w:hAnsi="Arial" w:cs="Arial"/>
          <w:bCs/>
          <w:i/>
          <w:sz w:val="22"/>
          <w:lang w:val="es-ES_tradnl" w:eastAsia="en-US"/>
        </w:rPr>
        <w:t>…</w:t>
      </w:r>
    </w:p>
    <w:p w:rsidR="00997BFD" w:rsidRDefault="00997BFD" w:rsidP="00997BFD">
      <w:pPr>
        <w:tabs>
          <w:tab w:val="left" w:pos="8364"/>
        </w:tabs>
        <w:ind w:left="709" w:right="418"/>
        <w:jc w:val="both"/>
        <w:rPr>
          <w:rFonts w:ascii="Arial" w:eastAsia="Cambria" w:hAnsi="Arial" w:cs="Arial"/>
          <w:bCs/>
          <w:i/>
          <w:sz w:val="22"/>
          <w:lang w:val="es-ES_tradnl" w:eastAsia="en-US"/>
        </w:rPr>
      </w:pPr>
      <w:r w:rsidRPr="00997BFD">
        <w:rPr>
          <w:rFonts w:ascii="Arial" w:eastAsia="Cambria" w:hAnsi="Arial" w:cs="Arial"/>
          <w:bCs/>
          <w:i/>
          <w:sz w:val="22"/>
          <w:lang w:val="es-ES_tradnl" w:eastAsia="en-US"/>
        </w:rPr>
        <w:lastRenderedPageBreak/>
        <w:t>De acuerdo con lo dispuesto en la Ley General de Control Interno Nº 8292 y en las Directrices para la solicitud y asignación de recursos a las Auditorías Internas</w:t>
      </w:r>
      <w:r w:rsidRPr="00997BFD">
        <w:rPr>
          <w:rFonts w:ascii="Arial" w:eastAsia="Cambria" w:hAnsi="Arial" w:cs="Arial"/>
          <w:bCs/>
          <w:i/>
          <w:sz w:val="22"/>
          <w:lang w:val="es-ES_tradnl" w:eastAsia="en-US"/>
        </w:rPr>
        <w:footnoteReference w:id="1"/>
      </w:r>
      <w:r w:rsidRPr="00997BFD">
        <w:rPr>
          <w:rFonts w:ascii="Arial" w:eastAsia="Cambria" w:hAnsi="Arial" w:cs="Arial"/>
          <w:bCs/>
          <w:i/>
          <w:sz w:val="22"/>
          <w:lang w:val="es-ES_tradnl" w:eastAsia="en-US"/>
        </w:rPr>
        <w:t>, la previsión presupuestaria requerida por la Auditoría Interna para el 2018, asciende a la suma de ¢22</w:t>
      </w:r>
      <w:proofErr w:type="gramStart"/>
      <w:r w:rsidRPr="00997BFD">
        <w:rPr>
          <w:rFonts w:ascii="Arial" w:eastAsia="Cambria" w:hAnsi="Arial" w:cs="Arial"/>
          <w:bCs/>
          <w:i/>
          <w:sz w:val="22"/>
          <w:lang w:val="es-ES_tradnl" w:eastAsia="en-US"/>
        </w:rPr>
        <w:t>,844,000.00</w:t>
      </w:r>
      <w:proofErr w:type="gramEnd"/>
      <w:r w:rsidRPr="00997BFD">
        <w:rPr>
          <w:rFonts w:ascii="Arial" w:eastAsia="Cambria" w:hAnsi="Arial" w:cs="Arial"/>
          <w:bCs/>
          <w:i/>
          <w:sz w:val="22"/>
          <w:lang w:val="es-ES_tradnl" w:eastAsia="en-US"/>
        </w:rPr>
        <w:t>.</w:t>
      </w:r>
    </w:p>
    <w:p w:rsidR="00997BFD" w:rsidRPr="00997BFD" w:rsidRDefault="00997BFD" w:rsidP="00997BFD">
      <w:pPr>
        <w:tabs>
          <w:tab w:val="left" w:pos="8364"/>
        </w:tabs>
        <w:ind w:left="709" w:right="418"/>
        <w:jc w:val="both"/>
        <w:rPr>
          <w:rFonts w:ascii="Arial" w:eastAsia="Cambria" w:hAnsi="Arial" w:cs="Arial"/>
          <w:bCs/>
          <w:i/>
          <w:sz w:val="22"/>
          <w:lang w:val="es-ES_tradnl" w:eastAsia="en-US"/>
        </w:rPr>
      </w:pPr>
    </w:p>
    <w:p w:rsidR="00997BFD" w:rsidRPr="00997BFD" w:rsidRDefault="00997BFD" w:rsidP="00997BFD">
      <w:pPr>
        <w:ind w:left="993" w:right="418"/>
        <w:jc w:val="both"/>
        <w:rPr>
          <w:rFonts w:ascii="Arial" w:eastAsia="Cambria" w:hAnsi="Arial" w:cs="Arial"/>
          <w:bCs/>
          <w:i/>
          <w:sz w:val="22"/>
          <w:lang w:val="es-ES_tradnl" w:eastAsia="en-US"/>
        </w:rPr>
      </w:pPr>
      <w:r w:rsidRPr="00997BFD">
        <w:rPr>
          <w:rFonts w:ascii="Arial" w:eastAsia="Cambria" w:hAnsi="Arial" w:cs="Arial"/>
          <w:bCs/>
          <w:i/>
          <w:sz w:val="22"/>
          <w:lang w:val="es-ES_tradnl" w:eastAsia="en-US"/>
        </w:rPr>
        <w:t xml:space="preserve">Las necesidades presupuestarias para atender el costo de las remuneraciones al personal –11 plazas aprobadas– se incorporan en el presupuesto de salarios institucional –Relación de Puestos–, según las estimaciones del Departamento de Recursos Humanos realizadas con base en las disposiciones de formulación presupuestaria aprobadas por el Consejo Institucional, la política de retribuciones institucionales y la negociación salarial para el período 2018. Asimismo, se incluye lo requerido para el eventual pago de “tiempo extraordinario” en la realización de diversas labores de auditoría adicionales a la jornada ordinaria.  </w:t>
      </w:r>
    </w:p>
    <w:p w:rsidR="00997BFD" w:rsidRPr="00997BFD" w:rsidRDefault="00997BFD" w:rsidP="00997BFD">
      <w:pPr>
        <w:ind w:left="993" w:right="418"/>
        <w:jc w:val="both"/>
        <w:rPr>
          <w:rFonts w:ascii="Arial" w:eastAsia="Cambria" w:hAnsi="Arial" w:cs="Arial"/>
          <w:bCs/>
          <w:i/>
          <w:sz w:val="16"/>
          <w:szCs w:val="16"/>
          <w:lang w:val="es-ES_tradnl" w:eastAsia="en-US"/>
        </w:rPr>
      </w:pPr>
    </w:p>
    <w:p w:rsidR="00997BFD" w:rsidRPr="00997BFD" w:rsidRDefault="00997BFD" w:rsidP="00997BFD">
      <w:pPr>
        <w:ind w:left="993" w:right="418"/>
        <w:jc w:val="both"/>
        <w:rPr>
          <w:rFonts w:ascii="Arial" w:eastAsia="Cambria" w:hAnsi="Arial" w:cs="Arial"/>
          <w:bCs/>
          <w:i/>
          <w:sz w:val="22"/>
          <w:lang w:val="es-ES_tradnl" w:eastAsia="en-US"/>
        </w:rPr>
      </w:pPr>
      <w:r w:rsidRPr="00997BFD">
        <w:rPr>
          <w:rFonts w:ascii="Arial" w:eastAsia="Cambria" w:hAnsi="Arial" w:cs="Arial"/>
          <w:bCs/>
          <w:i/>
          <w:sz w:val="22"/>
          <w:lang w:val="es-ES_tradnl" w:eastAsia="en-US"/>
        </w:rPr>
        <w:t xml:space="preserve">Los requerimientos de dos nuevas plazas de Auditor/a para 2018 (Anexo 5), fueron remitidos a la Rectoría con nota AUDI-043-2017 del 10 de marzo del 2017, según fue solicitado por esa instancia. A la fecha esta Auditoría Interna desconoce el trámite dado a este requerimiento, no se ha recibido ningún tipo de comunicación, ni solicitado información adicional o cursado invitación a alguna reunión o sesión de trabajo relacionada, según se dispone en el acuerdo del Consejo Institucional de la Sesión Ordinaria No. 2832 Artículo 10, del 14 de agosto de 2013.  </w:t>
      </w:r>
    </w:p>
    <w:p w:rsidR="00997BFD" w:rsidRPr="00997BFD" w:rsidRDefault="00997BFD" w:rsidP="00997BFD">
      <w:pPr>
        <w:ind w:left="993" w:right="418"/>
        <w:jc w:val="both"/>
        <w:rPr>
          <w:rFonts w:ascii="Arial" w:eastAsia="Cambria" w:hAnsi="Arial" w:cs="Arial"/>
          <w:bCs/>
          <w:i/>
          <w:sz w:val="22"/>
          <w:lang w:val="es-ES_tradnl" w:eastAsia="en-US"/>
        </w:rPr>
      </w:pPr>
    </w:p>
    <w:p w:rsidR="00997BFD" w:rsidRPr="00997BFD" w:rsidRDefault="00997BFD" w:rsidP="00997BFD">
      <w:pPr>
        <w:tabs>
          <w:tab w:val="num" w:pos="1560"/>
        </w:tabs>
        <w:ind w:left="851"/>
        <w:jc w:val="both"/>
        <w:rPr>
          <w:rFonts w:ascii="Arial" w:eastAsia="Cambria" w:hAnsi="Arial" w:cs="Arial"/>
          <w:b/>
          <w:i/>
          <w:sz w:val="22"/>
          <w:szCs w:val="22"/>
          <w:lang w:val="es-ES_tradnl" w:eastAsia="en-US"/>
        </w:rPr>
      </w:pPr>
      <w:r w:rsidRPr="00997BFD">
        <w:rPr>
          <w:rFonts w:ascii="Arial" w:eastAsia="Cambria" w:hAnsi="Arial" w:cs="Arial"/>
          <w:b/>
          <w:i/>
          <w:sz w:val="22"/>
          <w:szCs w:val="22"/>
          <w:lang w:val="es-ES_tradnl" w:eastAsia="en-US"/>
        </w:rPr>
        <w:t>10.  PETITORIA</w:t>
      </w:r>
    </w:p>
    <w:p w:rsidR="00997BFD" w:rsidRPr="00997BFD" w:rsidRDefault="00997BFD" w:rsidP="00997BFD">
      <w:pPr>
        <w:tabs>
          <w:tab w:val="num" w:pos="1560"/>
        </w:tabs>
        <w:ind w:left="426"/>
        <w:jc w:val="both"/>
        <w:rPr>
          <w:rFonts w:ascii="Arial" w:hAnsi="Arial" w:cs="Arial"/>
          <w:sz w:val="16"/>
          <w:szCs w:val="16"/>
          <w:lang w:val="es-CR"/>
        </w:rPr>
      </w:pPr>
    </w:p>
    <w:p w:rsidR="00997BFD" w:rsidRPr="00997BFD" w:rsidRDefault="00997BFD" w:rsidP="00997BFD">
      <w:pPr>
        <w:tabs>
          <w:tab w:val="num" w:pos="1560"/>
        </w:tabs>
        <w:ind w:left="851"/>
        <w:jc w:val="both"/>
        <w:rPr>
          <w:rFonts w:ascii="Arial" w:hAnsi="Arial" w:cs="Arial"/>
          <w:i/>
          <w:sz w:val="22"/>
          <w:szCs w:val="22"/>
          <w:lang w:val="es-CR"/>
        </w:rPr>
      </w:pPr>
      <w:r w:rsidRPr="00997BFD">
        <w:rPr>
          <w:rFonts w:ascii="Arial" w:hAnsi="Arial" w:cs="Arial"/>
          <w:i/>
          <w:sz w:val="22"/>
          <w:szCs w:val="22"/>
          <w:lang w:val="es-CR"/>
        </w:rPr>
        <w:t>Se solicita al Consejo Institucional, como jerarca de la Auditoría Interna, que interponga sus buenos oficios a efecto de garantizar que las instancias responsables de la formulación presupuestaria 2018, incorporen los recursos necesarios para el funcionamiento de la Auditoría Interna a los que hace referencia en el apartado 9, del presente estudio técnico.</w:t>
      </w:r>
    </w:p>
    <w:p w:rsidR="00997BFD" w:rsidRPr="00997BFD" w:rsidRDefault="00997BFD" w:rsidP="00997BFD">
      <w:pPr>
        <w:ind w:left="851"/>
        <w:rPr>
          <w:rFonts w:ascii="Arial" w:hAnsi="Arial" w:cs="Arial"/>
          <w:i/>
          <w:sz w:val="16"/>
          <w:szCs w:val="16"/>
          <w:lang w:val="es-CR"/>
        </w:rPr>
      </w:pPr>
    </w:p>
    <w:p w:rsidR="00997BFD" w:rsidRPr="00997BFD" w:rsidRDefault="00997BFD" w:rsidP="00997BFD">
      <w:pPr>
        <w:tabs>
          <w:tab w:val="num" w:pos="1560"/>
        </w:tabs>
        <w:ind w:left="851"/>
        <w:jc w:val="both"/>
        <w:rPr>
          <w:rFonts w:ascii="Arial" w:hAnsi="Arial" w:cs="Arial"/>
          <w:i/>
          <w:sz w:val="22"/>
          <w:szCs w:val="22"/>
          <w:lang w:val="es-CR"/>
        </w:rPr>
      </w:pPr>
      <w:r w:rsidRPr="00997BFD">
        <w:rPr>
          <w:rFonts w:ascii="Arial" w:hAnsi="Arial" w:cs="Arial"/>
          <w:i/>
          <w:sz w:val="22"/>
          <w:szCs w:val="22"/>
          <w:lang w:val="es-CR"/>
        </w:rPr>
        <w:t>Además, que se ordene a la Rectoría la incorporación de las dos plazas de Auditor(a), solicitadas en el oficio AUDI-043-2017 del 10 de marzo de 2017, al que se hace referencia en el apartado 9 de este estudio, lo que permitirá programar más estudios para ampliar la cobertura del universo de auditoría.</w:t>
      </w:r>
    </w:p>
    <w:p w:rsidR="00997BFD" w:rsidRPr="00997BFD" w:rsidRDefault="00997BFD" w:rsidP="00997BFD">
      <w:pPr>
        <w:ind w:left="851"/>
        <w:rPr>
          <w:rFonts w:ascii="Arial" w:hAnsi="Arial" w:cs="Arial"/>
          <w:i/>
          <w:sz w:val="20"/>
          <w:szCs w:val="20"/>
          <w:lang w:val="es-CR"/>
        </w:rPr>
      </w:pPr>
      <w:r w:rsidRPr="00997BFD">
        <w:rPr>
          <w:rFonts w:ascii="Arial" w:hAnsi="Arial" w:cs="Arial"/>
          <w:i/>
          <w:sz w:val="20"/>
          <w:szCs w:val="20"/>
          <w:lang w:val="es-CR"/>
        </w:rPr>
        <w:t xml:space="preserve"> …”</w:t>
      </w:r>
    </w:p>
    <w:p w:rsidR="00997BFD" w:rsidRPr="00997BFD" w:rsidRDefault="00997BFD" w:rsidP="00997BFD">
      <w:pPr>
        <w:jc w:val="both"/>
        <w:rPr>
          <w:rFonts w:ascii="Arial" w:eastAsia="Cambria" w:hAnsi="Arial" w:cs="Arial"/>
          <w:sz w:val="16"/>
          <w:szCs w:val="16"/>
          <w:lang w:val="es-CR" w:eastAsia="en-US"/>
        </w:rPr>
      </w:pPr>
    </w:p>
    <w:p w:rsidR="00997BFD" w:rsidRPr="00997BFD" w:rsidRDefault="00997BFD" w:rsidP="00997BFD">
      <w:pPr>
        <w:numPr>
          <w:ilvl w:val="0"/>
          <w:numId w:val="31"/>
        </w:numPr>
        <w:jc w:val="both"/>
        <w:rPr>
          <w:rFonts w:ascii="Arial" w:hAnsi="Arial" w:cs="Arial"/>
        </w:rPr>
      </w:pPr>
      <w:r w:rsidRPr="00997BFD">
        <w:rPr>
          <w:rFonts w:ascii="Arial" w:hAnsi="Arial" w:cs="Arial"/>
        </w:rPr>
        <w:t xml:space="preserve">La Secretaría del Consejo Institucional recibe oficio AUDI-145-2017, con fecha de recibido 31 de julio de 2017, suscrito por el Lic. Isidro Álvarez Salazar, Auditor Interno, dirigido al Dr. Julio Calvo Alvarado, Presidente del Consejo Institucional, con copia al Ing. Alexander Valerín, Coordinador de la Comisión de Planificación y Administración, en el cual remite modificación del Estudio Técnico sobre los Requerimientos Presupuestarios mínimos de la Auditoría Interna, para la asignación de recursos en el 2018, remitido mediante AUDI-129-2017. </w:t>
      </w:r>
    </w:p>
    <w:p w:rsidR="00997BFD" w:rsidRPr="00997BFD" w:rsidRDefault="00997BFD" w:rsidP="00997BFD">
      <w:pPr>
        <w:ind w:left="1418" w:hanging="1418"/>
        <w:rPr>
          <w:rFonts w:ascii="Arial" w:hAnsi="Arial" w:cs="Arial"/>
          <w:b/>
          <w:sz w:val="20"/>
          <w:szCs w:val="20"/>
          <w:lang w:val="es-CR"/>
        </w:rPr>
      </w:pPr>
    </w:p>
    <w:p w:rsidR="00997BFD" w:rsidRPr="00997BFD" w:rsidRDefault="00997BFD" w:rsidP="00997BFD">
      <w:pPr>
        <w:numPr>
          <w:ilvl w:val="0"/>
          <w:numId w:val="31"/>
        </w:numPr>
        <w:ind w:left="426" w:hanging="426"/>
        <w:jc w:val="both"/>
        <w:rPr>
          <w:rFonts w:ascii="Arial" w:eastAsia="Cambria" w:hAnsi="Arial" w:cs="Arial"/>
          <w:lang w:val="es-ES_tradnl" w:eastAsia="en-US"/>
        </w:rPr>
      </w:pPr>
      <w:r w:rsidRPr="00997BFD">
        <w:rPr>
          <w:rFonts w:ascii="Arial" w:eastAsia="Cambria" w:hAnsi="Arial" w:cs="Arial"/>
          <w:lang w:val="es-ES_tradnl" w:eastAsia="en-US"/>
        </w:rPr>
        <w:t xml:space="preserve">En el mismo oficio informa que la Auditoría Interna, programó para el segundo semestre del 2017, el desarrollo de diversos sistemas para sustentar procesos de la actividad de auditoría, mediante la contratación de un estudiante de práctica de especialidad, según el Plan de Trabajo y el presupuesto asignado para este año. El estudio remitido mediante el oficio AUDI-129-2017, no incluye recursos económicos para tal fin, por lo que, se solicita ampliar los requerimientos </w:t>
      </w:r>
      <w:r w:rsidRPr="00997BFD">
        <w:rPr>
          <w:rFonts w:ascii="Arial" w:eastAsia="Cambria" w:hAnsi="Arial" w:cs="Arial"/>
          <w:lang w:val="es-ES_tradnl" w:eastAsia="en-US"/>
        </w:rPr>
        <w:lastRenderedPageBreak/>
        <w:t>presupuestarios en ¢2</w:t>
      </w:r>
      <w:proofErr w:type="gramStart"/>
      <w:r w:rsidRPr="00997BFD">
        <w:rPr>
          <w:rFonts w:ascii="Arial" w:eastAsia="Cambria" w:hAnsi="Arial" w:cs="Arial"/>
          <w:lang w:val="es-ES_tradnl" w:eastAsia="en-US"/>
        </w:rPr>
        <w:t>,000,000.00</w:t>
      </w:r>
      <w:proofErr w:type="gramEnd"/>
      <w:r w:rsidRPr="00997BFD">
        <w:rPr>
          <w:rFonts w:ascii="Arial" w:eastAsia="Cambria" w:hAnsi="Arial" w:cs="Arial"/>
          <w:lang w:val="es-ES_tradnl" w:eastAsia="en-US"/>
        </w:rPr>
        <w:t>, para un total de ¢24,844,000.00.   Según el siguiente detalle:</w:t>
      </w:r>
    </w:p>
    <w:p w:rsidR="00997BFD" w:rsidRPr="00997BFD" w:rsidRDefault="00997BFD" w:rsidP="00997BFD">
      <w:pPr>
        <w:ind w:left="708"/>
        <w:rPr>
          <w:rFonts w:ascii="Arial" w:eastAsia="Cambria" w:hAnsi="Arial" w:cs="Arial"/>
          <w:lang w:val="es-ES_tradnl"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351"/>
        <w:gridCol w:w="1385"/>
        <w:gridCol w:w="1368"/>
        <w:gridCol w:w="3827"/>
      </w:tblGrid>
      <w:tr w:rsidR="00997BFD" w:rsidRPr="00997BFD" w:rsidTr="00FF595A">
        <w:trPr>
          <w:trHeight w:val="290"/>
          <w:tblHeader/>
        </w:trPr>
        <w:tc>
          <w:tcPr>
            <w:tcW w:w="10065" w:type="dxa"/>
            <w:gridSpan w:val="5"/>
            <w:tcBorders>
              <w:top w:val="nil"/>
              <w:left w:val="nil"/>
              <w:bottom w:val="nil"/>
              <w:right w:val="nil"/>
            </w:tcBorders>
            <w:shd w:val="clear" w:color="auto" w:fill="auto"/>
            <w:hideMark/>
          </w:tcPr>
          <w:p w:rsidR="00997BFD" w:rsidRPr="00997BFD" w:rsidRDefault="00997BFD" w:rsidP="00997BFD">
            <w:pPr>
              <w:rPr>
                <w:rFonts w:ascii="Arial" w:eastAsia="Calibri" w:hAnsi="Arial" w:cs="Arial"/>
                <w:b/>
                <w:bCs/>
                <w:sz w:val="20"/>
                <w:szCs w:val="20"/>
                <w:lang w:val="es-CR"/>
              </w:rPr>
            </w:pPr>
            <w:r w:rsidRPr="00997BFD">
              <w:rPr>
                <w:rFonts w:ascii="Arial" w:eastAsia="Calibri" w:hAnsi="Arial" w:cs="Arial"/>
                <w:b/>
                <w:bCs/>
                <w:sz w:val="20"/>
                <w:szCs w:val="20"/>
                <w:lang w:val="es-CR"/>
              </w:rPr>
              <w:t>Tabla 6</w:t>
            </w:r>
          </w:p>
        </w:tc>
      </w:tr>
      <w:tr w:rsidR="00997BFD" w:rsidRPr="00997BFD" w:rsidTr="00FF595A">
        <w:trPr>
          <w:trHeight w:val="290"/>
          <w:tblHeader/>
        </w:trPr>
        <w:tc>
          <w:tcPr>
            <w:tcW w:w="10065" w:type="dxa"/>
            <w:gridSpan w:val="5"/>
            <w:tcBorders>
              <w:top w:val="nil"/>
              <w:left w:val="nil"/>
              <w:bottom w:val="nil"/>
              <w:right w:val="nil"/>
            </w:tcBorders>
            <w:shd w:val="clear" w:color="auto" w:fill="auto"/>
            <w:hideMark/>
          </w:tcPr>
          <w:p w:rsidR="00997BFD" w:rsidRPr="00997BFD" w:rsidRDefault="00997BFD" w:rsidP="00997BFD">
            <w:pPr>
              <w:rPr>
                <w:rFonts w:ascii="Arial" w:eastAsia="Calibri" w:hAnsi="Arial" w:cs="Arial"/>
                <w:b/>
                <w:bCs/>
                <w:sz w:val="20"/>
                <w:szCs w:val="20"/>
                <w:lang w:val="es-CR"/>
              </w:rPr>
            </w:pPr>
          </w:p>
        </w:tc>
      </w:tr>
      <w:tr w:rsidR="00997BFD" w:rsidRPr="00997BFD" w:rsidTr="00FF595A">
        <w:trPr>
          <w:trHeight w:val="290"/>
          <w:tblHeader/>
        </w:trPr>
        <w:tc>
          <w:tcPr>
            <w:tcW w:w="10065" w:type="dxa"/>
            <w:gridSpan w:val="5"/>
            <w:tcBorders>
              <w:top w:val="nil"/>
              <w:left w:val="nil"/>
              <w:bottom w:val="nil"/>
              <w:right w:val="nil"/>
            </w:tcBorders>
            <w:shd w:val="clear" w:color="auto" w:fill="auto"/>
            <w:hideMark/>
          </w:tcPr>
          <w:p w:rsidR="00997BFD" w:rsidRPr="00997BFD" w:rsidRDefault="00997BFD" w:rsidP="00997BFD">
            <w:pPr>
              <w:rPr>
                <w:rFonts w:ascii="Arial" w:eastAsia="Calibri" w:hAnsi="Arial" w:cs="Arial"/>
                <w:b/>
                <w:bCs/>
                <w:sz w:val="20"/>
                <w:szCs w:val="20"/>
                <w:lang w:val="es-CR"/>
              </w:rPr>
            </w:pPr>
            <w:r w:rsidRPr="00997BFD">
              <w:rPr>
                <w:rFonts w:ascii="Arial" w:eastAsia="Calibri" w:hAnsi="Arial" w:cs="Arial"/>
                <w:b/>
                <w:bCs/>
                <w:sz w:val="20"/>
                <w:szCs w:val="20"/>
                <w:lang w:val="es-CR"/>
              </w:rPr>
              <w:t>Requerimientos  presupuestarios 2018</w:t>
            </w:r>
          </w:p>
        </w:tc>
      </w:tr>
      <w:tr w:rsidR="00997BFD" w:rsidRPr="00997BFD" w:rsidTr="00FF595A">
        <w:trPr>
          <w:trHeight w:val="300"/>
          <w:tblHeader/>
        </w:trPr>
        <w:tc>
          <w:tcPr>
            <w:tcW w:w="10065" w:type="dxa"/>
            <w:gridSpan w:val="5"/>
            <w:tcBorders>
              <w:top w:val="nil"/>
              <w:left w:val="nil"/>
              <w:bottom w:val="single" w:sz="4" w:space="0" w:color="auto"/>
              <w:right w:val="nil"/>
            </w:tcBorders>
            <w:shd w:val="clear" w:color="auto" w:fill="auto"/>
            <w:hideMark/>
          </w:tcPr>
          <w:p w:rsidR="00997BFD" w:rsidRPr="00997BFD" w:rsidRDefault="00997BFD" w:rsidP="00997BFD">
            <w:pPr>
              <w:rPr>
                <w:rFonts w:ascii="Arial" w:eastAsia="Calibri" w:hAnsi="Arial" w:cs="Arial"/>
                <w:b/>
                <w:bCs/>
                <w:sz w:val="18"/>
                <w:szCs w:val="18"/>
                <w:lang w:val="es-CR"/>
              </w:rPr>
            </w:pPr>
            <w:r w:rsidRPr="00997BFD">
              <w:rPr>
                <w:rFonts w:ascii="Arial" w:eastAsia="Calibri" w:hAnsi="Arial" w:cs="Arial"/>
                <w:b/>
                <w:bCs/>
                <w:sz w:val="18"/>
                <w:szCs w:val="18"/>
                <w:lang w:val="es-CR"/>
              </w:rPr>
              <w:t> </w:t>
            </w:r>
          </w:p>
        </w:tc>
      </w:tr>
      <w:tr w:rsidR="00997BFD" w:rsidRPr="00997BFD" w:rsidTr="00FF595A">
        <w:trPr>
          <w:trHeight w:val="300"/>
          <w:tblHeader/>
        </w:trPr>
        <w:tc>
          <w:tcPr>
            <w:tcW w:w="1134" w:type="dxa"/>
            <w:tcBorders>
              <w:top w:val="single" w:sz="4" w:space="0" w:color="auto"/>
              <w:left w:val="nil"/>
              <w:bottom w:val="single" w:sz="4" w:space="0" w:color="auto"/>
              <w:right w:val="nil"/>
            </w:tcBorders>
            <w:shd w:val="clear" w:color="auto" w:fill="auto"/>
            <w:vAlign w:val="center"/>
            <w:hideMark/>
          </w:tcPr>
          <w:p w:rsidR="00997BFD" w:rsidRPr="00997BFD" w:rsidRDefault="00997BFD" w:rsidP="00997BFD">
            <w:pPr>
              <w:jc w:val="center"/>
              <w:rPr>
                <w:rFonts w:ascii="Arial" w:eastAsia="Calibri" w:hAnsi="Arial" w:cs="Arial"/>
                <w:b/>
                <w:bCs/>
                <w:sz w:val="20"/>
                <w:szCs w:val="20"/>
                <w:lang w:val="es-CR"/>
              </w:rPr>
            </w:pPr>
            <w:r w:rsidRPr="00997BFD">
              <w:rPr>
                <w:rFonts w:ascii="Arial" w:eastAsia="Calibri" w:hAnsi="Arial" w:cs="Arial"/>
                <w:b/>
                <w:bCs/>
                <w:sz w:val="20"/>
                <w:szCs w:val="20"/>
                <w:lang w:val="es-CR" w:eastAsia="es-CR"/>
              </w:rPr>
              <w:t>Objeto</w:t>
            </w:r>
            <w:r w:rsidRPr="00997BFD">
              <w:rPr>
                <w:rFonts w:ascii="Arial" w:eastAsia="Calibri" w:hAnsi="Arial" w:cs="Arial"/>
                <w:b/>
                <w:bCs/>
                <w:sz w:val="20"/>
                <w:szCs w:val="20"/>
                <w:lang w:val="es-CR" w:eastAsia="es-CR"/>
              </w:rPr>
              <w:br/>
              <w:t xml:space="preserve"> Gasto</w:t>
            </w:r>
          </w:p>
        </w:tc>
        <w:tc>
          <w:tcPr>
            <w:tcW w:w="2351" w:type="dxa"/>
            <w:tcBorders>
              <w:top w:val="single" w:sz="4" w:space="0" w:color="auto"/>
              <w:left w:val="nil"/>
              <w:bottom w:val="single" w:sz="4" w:space="0" w:color="auto"/>
              <w:right w:val="nil"/>
            </w:tcBorders>
            <w:shd w:val="clear" w:color="auto" w:fill="auto"/>
            <w:vAlign w:val="center"/>
          </w:tcPr>
          <w:p w:rsidR="00997BFD" w:rsidRPr="00997BFD" w:rsidRDefault="00997BFD" w:rsidP="00997BFD">
            <w:pPr>
              <w:jc w:val="center"/>
              <w:rPr>
                <w:rFonts w:ascii="Arial" w:eastAsia="Calibri" w:hAnsi="Arial" w:cs="Arial"/>
                <w:b/>
                <w:bCs/>
                <w:sz w:val="20"/>
                <w:szCs w:val="20"/>
                <w:lang w:val="es-CR"/>
              </w:rPr>
            </w:pPr>
            <w:r w:rsidRPr="00997BFD">
              <w:rPr>
                <w:rFonts w:ascii="Arial" w:eastAsia="Calibri" w:hAnsi="Arial" w:cs="Arial"/>
                <w:b/>
                <w:bCs/>
                <w:sz w:val="20"/>
                <w:szCs w:val="20"/>
                <w:lang w:val="es-CR" w:eastAsia="es-CR"/>
              </w:rPr>
              <w:t>Partidas</w:t>
            </w:r>
          </w:p>
        </w:tc>
        <w:tc>
          <w:tcPr>
            <w:tcW w:w="2753" w:type="dxa"/>
            <w:gridSpan w:val="2"/>
            <w:tcBorders>
              <w:top w:val="single" w:sz="4" w:space="0" w:color="auto"/>
              <w:left w:val="nil"/>
              <w:bottom w:val="single" w:sz="4" w:space="0" w:color="auto"/>
              <w:right w:val="nil"/>
            </w:tcBorders>
            <w:shd w:val="clear" w:color="auto" w:fill="auto"/>
            <w:noWrap/>
            <w:vAlign w:val="center"/>
            <w:hideMark/>
          </w:tcPr>
          <w:p w:rsidR="00997BFD" w:rsidRPr="00997BFD" w:rsidRDefault="00997BFD" w:rsidP="00997BFD">
            <w:pPr>
              <w:jc w:val="center"/>
              <w:rPr>
                <w:rFonts w:ascii="Arial" w:eastAsia="Calibri" w:hAnsi="Arial" w:cs="Arial"/>
                <w:b/>
                <w:bCs/>
                <w:sz w:val="20"/>
                <w:szCs w:val="20"/>
                <w:lang w:val="es-CR" w:eastAsia="es-CR"/>
              </w:rPr>
            </w:pPr>
            <w:r w:rsidRPr="00997BFD">
              <w:rPr>
                <w:rFonts w:ascii="Arial" w:eastAsia="Calibri" w:hAnsi="Arial" w:cs="Arial"/>
                <w:b/>
                <w:bCs/>
                <w:sz w:val="20"/>
                <w:szCs w:val="20"/>
                <w:lang w:val="es-CR" w:eastAsia="es-CR"/>
              </w:rPr>
              <w:t>Monto</w:t>
            </w:r>
          </w:p>
          <w:p w:rsidR="00997BFD" w:rsidRPr="00997BFD" w:rsidRDefault="00997BFD" w:rsidP="00997BFD">
            <w:pPr>
              <w:jc w:val="center"/>
              <w:rPr>
                <w:rFonts w:ascii="Arial" w:eastAsia="Calibri" w:hAnsi="Arial" w:cs="Arial"/>
                <w:b/>
                <w:bCs/>
                <w:sz w:val="20"/>
                <w:szCs w:val="20"/>
                <w:lang w:val="es-CR"/>
              </w:rPr>
            </w:pPr>
            <w:r w:rsidRPr="00997BFD">
              <w:rPr>
                <w:rFonts w:ascii="Arial" w:eastAsia="Calibri" w:hAnsi="Arial" w:cs="Arial"/>
                <w:b/>
                <w:bCs/>
                <w:sz w:val="20"/>
                <w:szCs w:val="20"/>
                <w:lang w:val="es-CR" w:eastAsia="es-CR"/>
              </w:rPr>
              <w:t>(colones)</w:t>
            </w:r>
          </w:p>
        </w:tc>
        <w:tc>
          <w:tcPr>
            <w:tcW w:w="3827" w:type="dxa"/>
            <w:tcBorders>
              <w:top w:val="single" w:sz="4" w:space="0" w:color="auto"/>
              <w:left w:val="nil"/>
              <w:bottom w:val="single" w:sz="4" w:space="0" w:color="auto"/>
              <w:right w:val="nil"/>
            </w:tcBorders>
            <w:shd w:val="clear" w:color="auto" w:fill="auto"/>
            <w:vAlign w:val="center"/>
            <w:hideMark/>
          </w:tcPr>
          <w:p w:rsidR="00997BFD" w:rsidRPr="00997BFD" w:rsidRDefault="00997BFD" w:rsidP="00997BFD">
            <w:pPr>
              <w:jc w:val="center"/>
              <w:rPr>
                <w:rFonts w:ascii="Arial" w:eastAsia="Calibri" w:hAnsi="Arial" w:cs="Arial"/>
                <w:sz w:val="20"/>
                <w:szCs w:val="20"/>
                <w:lang w:val="es-CR"/>
              </w:rPr>
            </w:pPr>
            <w:r w:rsidRPr="00997BFD">
              <w:rPr>
                <w:rFonts w:ascii="Arial" w:eastAsia="Calibri" w:hAnsi="Arial" w:cs="Arial"/>
                <w:b/>
                <w:bCs/>
                <w:sz w:val="20"/>
                <w:szCs w:val="20"/>
                <w:lang w:val="es-CR" w:eastAsia="es-CR"/>
              </w:rPr>
              <w:t>Justificación</w:t>
            </w:r>
          </w:p>
        </w:tc>
      </w:tr>
      <w:tr w:rsidR="00997BFD" w:rsidRPr="00997BFD" w:rsidTr="00FF595A">
        <w:trPr>
          <w:trHeight w:val="300"/>
        </w:trPr>
        <w:tc>
          <w:tcPr>
            <w:tcW w:w="3485" w:type="dxa"/>
            <w:gridSpan w:val="2"/>
            <w:tcBorders>
              <w:left w:val="nil"/>
              <w:bottom w:val="single" w:sz="4" w:space="0" w:color="auto"/>
              <w:right w:val="nil"/>
            </w:tcBorders>
            <w:shd w:val="clear" w:color="auto" w:fill="auto"/>
            <w:vAlign w:val="center"/>
          </w:tcPr>
          <w:p w:rsidR="00997BFD" w:rsidRPr="00997BFD" w:rsidRDefault="00997BFD" w:rsidP="00997BFD">
            <w:pPr>
              <w:rPr>
                <w:rFonts w:ascii="Arial" w:eastAsia="Calibri" w:hAnsi="Arial" w:cs="Arial"/>
                <w:b/>
                <w:bCs/>
                <w:sz w:val="18"/>
                <w:szCs w:val="18"/>
                <w:lang w:val="es-CR"/>
              </w:rPr>
            </w:pPr>
            <w:r w:rsidRPr="00997BFD">
              <w:rPr>
                <w:rFonts w:ascii="Arial" w:eastAsia="Calibri" w:hAnsi="Arial" w:cs="Arial"/>
                <w:b/>
                <w:bCs/>
                <w:sz w:val="18"/>
                <w:szCs w:val="18"/>
                <w:lang w:val="es-CR"/>
              </w:rPr>
              <w:t>REMUNERACIONES</w:t>
            </w:r>
          </w:p>
        </w:tc>
        <w:tc>
          <w:tcPr>
            <w:tcW w:w="1385" w:type="dxa"/>
            <w:tcBorders>
              <w:left w:val="nil"/>
              <w:bottom w:val="single" w:sz="4" w:space="0" w:color="auto"/>
              <w:right w:val="nil"/>
            </w:tcBorders>
            <w:shd w:val="clear" w:color="auto" w:fill="auto"/>
            <w:noWrap/>
            <w:vAlign w:val="center"/>
          </w:tcPr>
          <w:p w:rsidR="00997BFD" w:rsidRPr="00997BFD" w:rsidRDefault="00997BFD" w:rsidP="00997BFD">
            <w:pPr>
              <w:jc w:val="right"/>
              <w:rPr>
                <w:rFonts w:ascii="Arial" w:eastAsia="Calibri" w:hAnsi="Arial" w:cs="Arial"/>
                <w:bCs/>
                <w:sz w:val="18"/>
                <w:szCs w:val="18"/>
                <w:lang w:val="es-CR"/>
              </w:rPr>
            </w:pPr>
          </w:p>
        </w:tc>
        <w:tc>
          <w:tcPr>
            <w:tcW w:w="1368" w:type="dxa"/>
            <w:tcBorders>
              <w:left w:val="nil"/>
              <w:bottom w:val="single" w:sz="4" w:space="0" w:color="auto"/>
              <w:right w:val="nil"/>
            </w:tcBorders>
            <w:shd w:val="clear" w:color="auto" w:fill="auto"/>
            <w:noWrap/>
            <w:vAlign w:val="center"/>
          </w:tcPr>
          <w:p w:rsidR="00997BFD" w:rsidRPr="00997BFD" w:rsidRDefault="00997BFD" w:rsidP="00997BFD">
            <w:pPr>
              <w:jc w:val="right"/>
              <w:rPr>
                <w:rFonts w:ascii="Arial" w:eastAsia="Calibri" w:hAnsi="Arial" w:cs="Arial"/>
                <w:b/>
                <w:bCs/>
                <w:sz w:val="18"/>
                <w:szCs w:val="18"/>
                <w:lang w:val="es-CR"/>
              </w:rPr>
            </w:pPr>
            <w:r w:rsidRPr="00997BFD">
              <w:rPr>
                <w:rFonts w:ascii="Arial" w:eastAsia="Calibri" w:hAnsi="Arial" w:cs="Arial"/>
                <w:b/>
                <w:bCs/>
                <w:sz w:val="18"/>
                <w:szCs w:val="18"/>
                <w:lang w:val="es-CR"/>
              </w:rPr>
              <w:t>1,000,000.00</w:t>
            </w:r>
          </w:p>
        </w:tc>
        <w:tc>
          <w:tcPr>
            <w:tcW w:w="3827" w:type="dxa"/>
            <w:tcBorders>
              <w:left w:val="nil"/>
              <w:bottom w:val="single" w:sz="4" w:space="0" w:color="auto"/>
              <w:right w:val="nil"/>
            </w:tcBorders>
            <w:shd w:val="clear" w:color="auto" w:fill="auto"/>
            <w:vAlign w:val="center"/>
          </w:tcPr>
          <w:p w:rsidR="00997BFD" w:rsidRPr="00997BFD" w:rsidRDefault="00997BFD" w:rsidP="00997BFD">
            <w:pPr>
              <w:rPr>
                <w:rFonts w:ascii="Arial" w:eastAsia="Calibri" w:hAnsi="Arial" w:cs="Arial"/>
                <w:bCs/>
                <w:sz w:val="18"/>
                <w:szCs w:val="18"/>
                <w:lang w:val="es-CR"/>
              </w:rPr>
            </w:pPr>
          </w:p>
        </w:tc>
      </w:tr>
      <w:tr w:rsidR="00997BFD" w:rsidRPr="00997BFD" w:rsidTr="00FF595A">
        <w:trPr>
          <w:trHeight w:val="1150"/>
        </w:trPr>
        <w:tc>
          <w:tcPr>
            <w:tcW w:w="1134" w:type="dxa"/>
            <w:tcBorders>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bCs/>
                <w:sz w:val="18"/>
                <w:szCs w:val="18"/>
                <w:lang w:val="es-CR"/>
              </w:rPr>
              <w:t> </w:t>
            </w:r>
          </w:p>
        </w:tc>
        <w:tc>
          <w:tcPr>
            <w:tcW w:w="2351" w:type="dxa"/>
            <w:tcBorders>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bCs/>
                <w:sz w:val="18"/>
                <w:szCs w:val="18"/>
                <w:lang w:val="es-CR"/>
              </w:rPr>
              <w:t>Salarios y cargas patronales</w:t>
            </w:r>
          </w:p>
        </w:tc>
        <w:tc>
          <w:tcPr>
            <w:tcW w:w="1385" w:type="dxa"/>
            <w:tcBorders>
              <w:left w:val="nil"/>
              <w:bottom w:val="nil"/>
              <w:right w:val="nil"/>
            </w:tcBorders>
            <w:shd w:val="clear" w:color="auto" w:fill="auto"/>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 </w:t>
            </w:r>
          </w:p>
        </w:tc>
        <w:tc>
          <w:tcPr>
            <w:tcW w:w="1368" w:type="dxa"/>
            <w:tcBorders>
              <w:left w:val="nil"/>
              <w:bottom w:val="nil"/>
              <w:right w:val="nil"/>
            </w:tcBorders>
            <w:shd w:val="clear" w:color="auto" w:fill="auto"/>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 </w:t>
            </w:r>
          </w:p>
        </w:tc>
        <w:tc>
          <w:tcPr>
            <w:tcW w:w="3827" w:type="dxa"/>
            <w:tcBorders>
              <w:left w:val="nil"/>
              <w:bottom w:val="nil"/>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 xml:space="preserve">Servicios personales que requiere esta Oficina para su normal operación: 11 plazas ya asignadas calculadas de acuerdo con la base salarial y componentes de acuerdo con la Relación de Puestos Institucional. </w:t>
            </w:r>
          </w:p>
          <w:p w:rsidR="00997BFD" w:rsidRPr="00997BFD" w:rsidRDefault="00997BFD" w:rsidP="00997BFD">
            <w:pPr>
              <w:jc w:val="both"/>
              <w:rPr>
                <w:rFonts w:ascii="Arial" w:eastAsia="Calibri" w:hAnsi="Arial" w:cs="Arial"/>
                <w:sz w:val="18"/>
                <w:szCs w:val="18"/>
                <w:lang w:val="es-CR"/>
              </w:rPr>
            </w:pPr>
          </w:p>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Solicitud de dos plazas de Auditor/a, a partir de enero del 2018, según nota AUDI-043-2017, remitida a la Rectoría.</w:t>
            </w:r>
          </w:p>
        </w:tc>
      </w:tr>
      <w:tr w:rsidR="00997BFD" w:rsidRPr="00997BFD" w:rsidTr="00FF595A">
        <w:trPr>
          <w:trHeight w:val="1615"/>
        </w:trPr>
        <w:tc>
          <w:tcPr>
            <w:tcW w:w="1134" w:type="dxa"/>
            <w:tcBorders>
              <w:top w:val="nil"/>
              <w:left w:val="nil"/>
              <w:bottom w:val="single" w:sz="4" w:space="0" w:color="auto"/>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bCs/>
                <w:sz w:val="18"/>
                <w:szCs w:val="18"/>
                <w:lang w:val="es-CR"/>
              </w:rPr>
              <w:t> </w:t>
            </w:r>
          </w:p>
        </w:tc>
        <w:tc>
          <w:tcPr>
            <w:tcW w:w="2351" w:type="dxa"/>
            <w:tcBorders>
              <w:top w:val="nil"/>
              <w:left w:val="nil"/>
              <w:bottom w:val="single" w:sz="4" w:space="0" w:color="auto"/>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Tiempo Extraordinario</w:t>
            </w:r>
          </w:p>
        </w:tc>
        <w:tc>
          <w:tcPr>
            <w:tcW w:w="1385" w:type="dxa"/>
            <w:tcBorders>
              <w:top w:val="nil"/>
              <w:left w:val="nil"/>
              <w:bottom w:val="single" w:sz="4" w:space="0" w:color="auto"/>
              <w:right w:val="nil"/>
            </w:tcBorders>
            <w:shd w:val="clear" w:color="auto" w:fill="auto"/>
            <w:noWrap/>
            <w:vAlign w:val="center"/>
          </w:tcPr>
          <w:p w:rsidR="00997BFD" w:rsidRPr="00997BFD" w:rsidRDefault="00997BFD" w:rsidP="00997BFD">
            <w:pPr>
              <w:jc w:val="center"/>
              <w:rPr>
                <w:rFonts w:ascii="Arial" w:eastAsia="Calibri" w:hAnsi="Arial" w:cs="Arial"/>
                <w:sz w:val="18"/>
                <w:szCs w:val="18"/>
                <w:lang w:val="es-CR"/>
              </w:rPr>
            </w:pPr>
            <w:r w:rsidRPr="00997BFD">
              <w:rPr>
                <w:rFonts w:ascii="Arial" w:eastAsia="Calibri" w:hAnsi="Arial" w:cs="Arial"/>
                <w:sz w:val="18"/>
                <w:szCs w:val="18"/>
                <w:lang w:val="es-CR"/>
              </w:rPr>
              <w:t>1,000,000.00</w:t>
            </w:r>
          </w:p>
        </w:tc>
        <w:tc>
          <w:tcPr>
            <w:tcW w:w="1368" w:type="dxa"/>
            <w:tcBorders>
              <w:top w:val="nil"/>
              <w:left w:val="nil"/>
              <w:bottom w:val="single" w:sz="4" w:space="0" w:color="auto"/>
              <w:right w:val="nil"/>
            </w:tcBorders>
            <w:shd w:val="clear" w:color="auto" w:fill="auto"/>
            <w:noWrap/>
            <w:vAlign w:val="center"/>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single" w:sz="4" w:space="0" w:color="auto"/>
              <w:right w:val="nil"/>
            </w:tcBorders>
            <w:shd w:val="clear" w:color="auto" w:fill="auto"/>
            <w:noWrap/>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Atención de las actividades de asesoría al Consejo Institucional y a la Rectoría, para el análisis, estudio y elaboración de los informes, que en la mayoría de los casos no se cuenta con el tiempo suficiente, por tanto, se debe realizar en jornada adicional o en los fines de semana.</w:t>
            </w:r>
          </w:p>
        </w:tc>
      </w:tr>
      <w:tr w:rsidR="00997BFD" w:rsidRPr="00997BFD" w:rsidTr="00FF595A">
        <w:trPr>
          <w:trHeight w:val="300"/>
        </w:trPr>
        <w:tc>
          <w:tcPr>
            <w:tcW w:w="3485" w:type="dxa"/>
            <w:gridSpan w:val="2"/>
            <w:tcBorders>
              <w:top w:val="single" w:sz="4" w:space="0" w:color="auto"/>
              <w:left w:val="nil"/>
              <w:bottom w:val="single" w:sz="4" w:space="0" w:color="auto"/>
              <w:right w:val="nil"/>
            </w:tcBorders>
            <w:shd w:val="clear" w:color="auto" w:fill="auto"/>
            <w:noWrap/>
            <w:vAlign w:val="center"/>
            <w:hideMark/>
          </w:tcPr>
          <w:p w:rsidR="00997BFD" w:rsidRPr="00997BFD" w:rsidRDefault="00997BFD" w:rsidP="00997BFD">
            <w:pPr>
              <w:rPr>
                <w:rFonts w:ascii="Arial" w:eastAsia="Calibri" w:hAnsi="Arial" w:cs="Arial"/>
                <w:b/>
                <w:bCs/>
                <w:sz w:val="18"/>
                <w:szCs w:val="18"/>
                <w:lang w:val="es-CR"/>
              </w:rPr>
            </w:pPr>
            <w:r w:rsidRPr="00997BFD">
              <w:rPr>
                <w:rFonts w:ascii="Arial" w:eastAsia="Calibri" w:hAnsi="Arial" w:cs="Arial"/>
                <w:b/>
                <w:bCs/>
                <w:sz w:val="18"/>
                <w:szCs w:val="18"/>
                <w:lang w:val="es-CR"/>
              </w:rPr>
              <w:t>SERVICIOS</w:t>
            </w:r>
          </w:p>
        </w:tc>
        <w:tc>
          <w:tcPr>
            <w:tcW w:w="1385" w:type="dxa"/>
            <w:tcBorders>
              <w:top w:val="single" w:sz="4" w:space="0" w:color="auto"/>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bCs/>
                <w:sz w:val="18"/>
                <w:szCs w:val="18"/>
                <w:lang w:val="es-CR"/>
              </w:rPr>
              <w:t> </w:t>
            </w:r>
          </w:p>
        </w:tc>
        <w:tc>
          <w:tcPr>
            <w:tcW w:w="1368" w:type="dxa"/>
            <w:tcBorders>
              <w:top w:val="single" w:sz="4" w:space="0" w:color="auto"/>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b/>
                <w:bCs/>
                <w:sz w:val="18"/>
                <w:szCs w:val="18"/>
                <w:lang w:val="es-CR"/>
              </w:rPr>
            </w:pPr>
            <w:r w:rsidRPr="00997BFD">
              <w:rPr>
                <w:rFonts w:ascii="Arial" w:eastAsia="Calibri" w:hAnsi="Arial" w:cs="Arial"/>
                <w:b/>
                <w:bCs/>
                <w:sz w:val="18"/>
                <w:szCs w:val="18"/>
                <w:lang w:val="es-CR"/>
              </w:rPr>
              <w:t>10,212,000.00</w:t>
            </w:r>
          </w:p>
        </w:tc>
        <w:tc>
          <w:tcPr>
            <w:tcW w:w="3827" w:type="dxa"/>
            <w:tcBorders>
              <w:top w:val="single" w:sz="4" w:space="0" w:color="auto"/>
              <w:left w:val="nil"/>
              <w:bottom w:val="single" w:sz="4" w:space="0" w:color="auto"/>
              <w:right w:val="nil"/>
            </w:tcBorders>
            <w:shd w:val="clear" w:color="auto" w:fill="auto"/>
            <w:noWrap/>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bCs/>
                <w:sz w:val="18"/>
                <w:szCs w:val="18"/>
                <w:lang w:val="es-CR"/>
              </w:rPr>
              <w:t> </w:t>
            </w:r>
          </w:p>
        </w:tc>
      </w:tr>
      <w:tr w:rsidR="00997BFD" w:rsidRPr="00997BFD" w:rsidTr="00FF595A">
        <w:trPr>
          <w:trHeight w:val="1618"/>
        </w:trPr>
        <w:tc>
          <w:tcPr>
            <w:tcW w:w="1134" w:type="dxa"/>
            <w:tcBorders>
              <w:top w:val="single" w:sz="4" w:space="0" w:color="auto"/>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1-01-02-01</w:t>
            </w:r>
          </w:p>
        </w:tc>
        <w:tc>
          <w:tcPr>
            <w:tcW w:w="2351" w:type="dxa"/>
            <w:tcBorders>
              <w:top w:val="single" w:sz="4" w:space="0" w:color="auto"/>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Alquiler de maquinaria, equipo y mobiliario</w:t>
            </w:r>
          </w:p>
        </w:tc>
        <w:tc>
          <w:tcPr>
            <w:tcW w:w="1385" w:type="dxa"/>
            <w:tcBorders>
              <w:top w:val="single" w:sz="4" w:space="0" w:color="auto"/>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160,000.00</w:t>
            </w:r>
          </w:p>
        </w:tc>
        <w:tc>
          <w:tcPr>
            <w:tcW w:w="1368" w:type="dxa"/>
            <w:tcBorders>
              <w:top w:val="single" w:sz="4" w:space="0" w:color="auto"/>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single" w:sz="4" w:space="0" w:color="auto"/>
              <w:left w:val="nil"/>
              <w:bottom w:val="nil"/>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Pago de kilometraje a funcionarios, por la utilización de sus vehículos en actividades propias de su función. Se estima la realización de giras a la Sede Regional de San Carlos, Centros Académicos de Alajuela y Limón y   visitas a la Contraloría General de la República y actividades varias.</w:t>
            </w:r>
          </w:p>
        </w:tc>
      </w:tr>
      <w:tr w:rsidR="00997BFD" w:rsidRPr="00997BFD" w:rsidTr="00FF595A">
        <w:trPr>
          <w:trHeight w:val="69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1-03-03-01</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Impresión, encuadernación y otros</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95,000.00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Servicio de fotocopiado, para la conformación de los expedientes producto de los servicios de auditoría.</w:t>
            </w:r>
          </w:p>
        </w:tc>
      </w:tr>
      <w:tr w:rsidR="00997BFD" w:rsidRPr="00997BFD" w:rsidTr="00FF595A">
        <w:trPr>
          <w:trHeight w:val="749"/>
        </w:trPr>
        <w:tc>
          <w:tcPr>
            <w:tcW w:w="1134" w:type="dxa"/>
            <w:tcBorders>
              <w:top w:val="nil"/>
              <w:left w:val="nil"/>
              <w:bottom w:val="nil"/>
              <w:right w:val="nil"/>
            </w:tcBorders>
            <w:shd w:val="clear" w:color="auto" w:fill="auto"/>
            <w:noWrap/>
            <w:vAlign w:val="center"/>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1-04-99-01</w:t>
            </w:r>
          </w:p>
        </w:tc>
        <w:tc>
          <w:tcPr>
            <w:tcW w:w="2351" w:type="dxa"/>
            <w:tcBorders>
              <w:top w:val="nil"/>
              <w:left w:val="nil"/>
              <w:bottom w:val="nil"/>
              <w:right w:val="nil"/>
            </w:tcBorders>
            <w:shd w:val="clear" w:color="auto" w:fill="auto"/>
            <w:vAlign w:val="center"/>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Otros Servicios de Gestión y Apoyo</w:t>
            </w:r>
          </w:p>
        </w:tc>
        <w:tc>
          <w:tcPr>
            <w:tcW w:w="1385" w:type="dxa"/>
            <w:tcBorders>
              <w:top w:val="nil"/>
              <w:left w:val="nil"/>
              <w:bottom w:val="nil"/>
              <w:right w:val="nil"/>
            </w:tcBorders>
            <w:shd w:val="clear" w:color="auto" w:fill="auto"/>
            <w:noWrap/>
            <w:vAlign w:val="center"/>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2,000,000.00</w:t>
            </w:r>
          </w:p>
        </w:tc>
        <w:tc>
          <w:tcPr>
            <w:tcW w:w="1368" w:type="dxa"/>
            <w:tcBorders>
              <w:top w:val="nil"/>
              <w:left w:val="nil"/>
              <w:bottom w:val="nil"/>
              <w:right w:val="nil"/>
            </w:tcBorders>
            <w:shd w:val="clear" w:color="auto" w:fill="auto"/>
            <w:noWrap/>
            <w:vAlign w:val="center"/>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vAlign w:val="center"/>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Contratación de un estudiante, para realizar práctica de especialidad, en el desarrollo de diversos procesos de auditoría.</w:t>
            </w:r>
          </w:p>
        </w:tc>
      </w:tr>
      <w:tr w:rsidR="00997BFD" w:rsidRPr="00997BFD" w:rsidTr="00FF595A">
        <w:trPr>
          <w:trHeight w:val="69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1-04-06-01</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Servicios Generales</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60,000.00</w:t>
            </w:r>
          </w:p>
        </w:tc>
        <w:tc>
          <w:tcPr>
            <w:tcW w:w="1368" w:type="dxa"/>
            <w:tcBorders>
              <w:top w:val="nil"/>
              <w:left w:val="nil"/>
              <w:bottom w:val="nil"/>
              <w:right w:val="nil"/>
            </w:tcBorders>
            <w:shd w:val="clear" w:color="auto" w:fill="auto"/>
            <w:noWrap/>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Previsión para el pago del servicio de parqueo, para aquellos casos en que la Unidad de Transportes asigne vehículo institucional sin chofer.</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115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1-05-01-01</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Transportes dentro del País</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60,000.00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Realización de fiscalizaciones en el Centro Académicos de San José, participación en actividades de capacitación y visitas a la Contraloría General, en las cuales se podría requerir el pago del transporte público de los funcionarios.</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92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1-05-02-01</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Viáticos dentro del País</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600,000.00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 xml:space="preserve">Realización de auditorías en la Sede Regional San Carlos y Centro Académicos de San José, Alajuela y Limón. Participación en actividades de capacitación y visitas a la Contraloría General de la República. </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46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lastRenderedPageBreak/>
              <w:t>1-05-03-01</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Transporte en el Exterior</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1,000,000.00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Adquisición de pasajes aéreos para la participación en el Congreso Anual Internacional de Auditoría Interna.</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46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1-05-04-01</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Viáticos en el Exterior</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1,800,000.00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Gastos de estadía y alimentación para la participación en el Congreso Internacional de Auditoría.</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115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1-07-01-02</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Cursos y Seminarios en el País</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3,000,000.00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Capacitación a los funcionarios en evaluación de riesgo, leyes y normativas y otros, participación en seminarios y congresos del ramo, en atención a lo dispuesto en el Manual de Normas para el Ejercicio de la Auditoría Interna.</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69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1-07-01-03</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Cursos y Seminarios en el Exterior</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1,300,000.00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Pago de inscripción por la participación en el Congreso Internacional de Auditoría y cursos online.</w:t>
            </w:r>
          </w:p>
        </w:tc>
      </w:tr>
      <w:tr w:rsidR="00997BFD" w:rsidRPr="00997BFD" w:rsidTr="00FF595A">
        <w:trPr>
          <w:trHeight w:val="69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1-08-07-01</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Mantenimiento y Rep. de Equipo de Oficina</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75,000.00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Mantenimiento y reparación de los diferentes equipos de la oficina.</w:t>
            </w:r>
          </w:p>
        </w:tc>
      </w:tr>
      <w:tr w:rsidR="00997BFD" w:rsidRPr="00997BFD" w:rsidTr="00FF595A">
        <w:trPr>
          <w:trHeight w:val="668"/>
        </w:trPr>
        <w:tc>
          <w:tcPr>
            <w:tcW w:w="1134" w:type="dxa"/>
            <w:tcBorders>
              <w:top w:val="nil"/>
              <w:left w:val="nil"/>
              <w:bottom w:val="single" w:sz="4" w:space="0" w:color="auto"/>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1-99-99-01</w:t>
            </w:r>
          </w:p>
        </w:tc>
        <w:tc>
          <w:tcPr>
            <w:tcW w:w="2351" w:type="dxa"/>
            <w:tcBorders>
              <w:top w:val="nil"/>
              <w:left w:val="nil"/>
              <w:bottom w:val="single" w:sz="4" w:space="0" w:color="auto"/>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Otros Servicios no Especificados</w:t>
            </w:r>
          </w:p>
        </w:tc>
        <w:tc>
          <w:tcPr>
            <w:tcW w:w="1385" w:type="dxa"/>
            <w:tcBorders>
              <w:top w:val="nil"/>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62,000.00</w:t>
            </w:r>
          </w:p>
        </w:tc>
        <w:tc>
          <w:tcPr>
            <w:tcW w:w="1368" w:type="dxa"/>
            <w:tcBorders>
              <w:top w:val="nil"/>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 </w:t>
            </w:r>
          </w:p>
        </w:tc>
        <w:tc>
          <w:tcPr>
            <w:tcW w:w="3827" w:type="dxa"/>
            <w:tcBorders>
              <w:top w:val="nil"/>
              <w:left w:val="nil"/>
              <w:bottom w:val="single" w:sz="4" w:space="0" w:color="auto"/>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Contratación de otros servicios necesarios para el cumplimiento de las labores de la Oficina.</w:t>
            </w:r>
          </w:p>
        </w:tc>
      </w:tr>
      <w:tr w:rsidR="00997BFD" w:rsidRPr="00997BFD" w:rsidTr="00FF595A">
        <w:trPr>
          <w:trHeight w:val="300"/>
        </w:trPr>
        <w:tc>
          <w:tcPr>
            <w:tcW w:w="3485" w:type="dxa"/>
            <w:gridSpan w:val="2"/>
            <w:tcBorders>
              <w:left w:val="nil"/>
              <w:bottom w:val="single" w:sz="4" w:space="0" w:color="auto"/>
              <w:right w:val="nil"/>
            </w:tcBorders>
            <w:shd w:val="clear" w:color="auto" w:fill="auto"/>
            <w:noWrap/>
            <w:vAlign w:val="center"/>
            <w:hideMark/>
          </w:tcPr>
          <w:p w:rsidR="00997BFD" w:rsidRPr="00997BFD" w:rsidRDefault="00997BFD" w:rsidP="00997BFD">
            <w:pPr>
              <w:rPr>
                <w:rFonts w:ascii="Arial" w:eastAsia="Calibri" w:hAnsi="Arial" w:cs="Arial"/>
                <w:b/>
                <w:bCs/>
                <w:sz w:val="18"/>
                <w:szCs w:val="18"/>
                <w:lang w:val="es-CR"/>
              </w:rPr>
            </w:pPr>
            <w:r w:rsidRPr="00997BFD">
              <w:rPr>
                <w:rFonts w:ascii="Arial" w:eastAsia="Calibri" w:hAnsi="Arial" w:cs="Arial"/>
                <w:b/>
                <w:bCs/>
                <w:sz w:val="18"/>
                <w:szCs w:val="18"/>
                <w:lang w:val="es-CR"/>
              </w:rPr>
              <w:t>MATERIALES Y SUMINISTROS</w:t>
            </w:r>
          </w:p>
        </w:tc>
        <w:tc>
          <w:tcPr>
            <w:tcW w:w="1385" w:type="dxa"/>
            <w:tcBorders>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b/>
                <w:bCs/>
                <w:sz w:val="18"/>
                <w:szCs w:val="18"/>
                <w:lang w:val="es-CR"/>
              </w:rPr>
            </w:pPr>
            <w:r w:rsidRPr="00997BFD">
              <w:rPr>
                <w:rFonts w:ascii="Arial" w:eastAsia="Calibri" w:hAnsi="Arial" w:cs="Arial"/>
                <w:b/>
                <w:bCs/>
                <w:sz w:val="18"/>
                <w:szCs w:val="18"/>
                <w:lang w:val="es-CR"/>
              </w:rPr>
              <w:t> </w:t>
            </w:r>
          </w:p>
        </w:tc>
        <w:tc>
          <w:tcPr>
            <w:tcW w:w="1368" w:type="dxa"/>
            <w:tcBorders>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b/>
                <w:bCs/>
                <w:sz w:val="18"/>
                <w:szCs w:val="18"/>
                <w:lang w:val="es-CR"/>
              </w:rPr>
            </w:pPr>
            <w:r w:rsidRPr="00997BFD">
              <w:rPr>
                <w:rFonts w:ascii="Arial" w:eastAsia="Calibri" w:hAnsi="Arial" w:cs="Arial"/>
                <w:b/>
                <w:bCs/>
                <w:sz w:val="18"/>
                <w:szCs w:val="18"/>
                <w:lang w:val="es-CR"/>
              </w:rPr>
              <w:t>4,932,000.00</w:t>
            </w:r>
          </w:p>
        </w:tc>
        <w:tc>
          <w:tcPr>
            <w:tcW w:w="3827" w:type="dxa"/>
            <w:tcBorders>
              <w:left w:val="nil"/>
              <w:bottom w:val="single" w:sz="4" w:space="0" w:color="auto"/>
              <w:right w:val="nil"/>
            </w:tcBorders>
            <w:shd w:val="clear" w:color="auto" w:fill="auto"/>
            <w:vAlign w:val="center"/>
            <w:hideMark/>
          </w:tcPr>
          <w:p w:rsidR="00997BFD" w:rsidRPr="00997BFD" w:rsidRDefault="00997BFD" w:rsidP="00997BFD">
            <w:pPr>
              <w:jc w:val="both"/>
              <w:rPr>
                <w:rFonts w:ascii="Arial" w:eastAsia="Calibri" w:hAnsi="Arial" w:cs="Arial"/>
                <w:b/>
                <w:bCs/>
                <w:sz w:val="18"/>
                <w:szCs w:val="18"/>
                <w:lang w:val="es-CR"/>
              </w:rPr>
            </w:pPr>
            <w:r w:rsidRPr="00997BFD">
              <w:rPr>
                <w:rFonts w:ascii="Arial" w:eastAsia="Calibri" w:hAnsi="Arial" w:cs="Arial"/>
                <w:b/>
                <w:bCs/>
                <w:sz w:val="18"/>
                <w:szCs w:val="18"/>
                <w:lang w:val="es-CR"/>
              </w:rPr>
              <w:t> </w:t>
            </w:r>
          </w:p>
        </w:tc>
      </w:tr>
      <w:tr w:rsidR="00997BFD" w:rsidRPr="00997BFD" w:rsidTr="00FF595A">
        <w:trPr>
          <w:trHeight w:val="920"/>
        </w:trPr>
        <w:tc>
          <w:tcPr>
            <w:tcW w:w="1134" w:type="dxa"/>
            <w:tcBorders>
              <w:top w:val="single" w:sz="4" w:space="0" w:color="auto"/>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2-01-04-01</w:t>
            </w:r>
          </w:p>
        </w:tc>
        <w:tc>
          <w:tcPr>
            <w:tcW w:w="2351" w:type="dxa"/>
            <w:tcBorders>
              <w:top w:val="single" w:sz="4" w:space="0" w:color="auto"/>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Tintas, pinturas y diluyentes</w:t>
            </w:r>
          </w:p>
        </w:tc>
        <w:tc>
          <w:tcPr>
            <w:tcW w:w="1385" w:type="dxa"/>
            <w:tcBorders>
              <w:top w:val="single" w:sz="4" w:space="0" w:color="auto"/>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1,200,000.00</w:t>
            </w:r>
          </w:p>
        </w:tc>
        <w:tc>
          <w:tcPr>
            <w:tcW w:w="1368" w:type="dxa"/>
            <w:tcBorders>
              <w:top w:val="single" w:sz="4" w:space="0" w:color="auto"/>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single" w:sz="4" w:space="0" w:color="auto"/>
              <w:left w:val="nil"/>
              <w:bottom w:val="nil"/>
              <w:right w:val="nil"/>
            </w:tcBorders>
            <w:shd w:val="clear" w:color="auto" w:fill="auto"/>
            <w:noWrap/>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 xml:space="preserve">Compra de tintas y </w:t>
            </w:r>
            <w:proofErr w:type="spellStart"/>
            <w:r w:rsidRPr="00997BFD">
              <w:rPr>
                <w:rFonts w:ascii="Arial" w:eastAsia="Calibri" w:hAnsi="Arial" w:cs="Arial"/>
                <w:sz w:val="18"/>
                <w:szCs w:val="18"/>
                <w:lang w:val="es-CR"/>
              </w:rPr>
              <w:t>tonner</w:t>
            </w:r>
            <w:proofErr w:type="spellEnd"/>
            <w:r w:rsidRPr="00997BFD">
              <w:rPr>
                <w:rFonts w:ascii="Arial" w:eastAsia="Calibri" w:hAnsi="Arial" w:cs="Arial"/>
                <w:sz w:val="18"/>
                <w:szCs w:val="18"/>
                <w:lang w:val="es-CR"/>
              </w:rPr>
              <w:t xml:space="preserve"> para impresoras. A razón de 10 </w:t>
            </w:r>
            <w:proofErr w:type="spellStart"/>
            <w:r w:rsidRPr="00997BFD">
              <w:rPr>
                <w:rFonts w:ascii="Arial" w:eastAsia="Calibri" w:hAnsi="Arial" w:cs="Arial"/>
                <w:sz w:val="18"/>
                <w:szCs w:val="18"/>
                <w:lang w:val="es-CR"/>
              </w:rPr>
              <w:t>tonner</w:t>
            </w:r>
            <w:proofErr w:type="spellEnd"/>
            <w:r w:rsidRPr="00997BFD">
              <w:rPr>
                <w:rFonts w:ascii="Arial" w:eastAsia="Calibri" w:hAnsi="Arial" w:cs="Arial"/>
                <w:sz w:val="18"/>
                <w:szCs w:val="18"/>
                <w:lang w:val="es-CR"/>
              </w:rPr>
              <w:t xml:space="preserve"> impresora </w:t>
            </w:r>
            <w:proofErr w:type="spellStart"/>
            <w:r w:rsidRPr="00997BFD">
              <w:rPr>
                <w:rFonts w:ascii="Arial" w:eastAsia="Calibri" w:hAnsi="Arial" w:cs="Arial"/>
                <w:sz w:val="18"/>
                <w:szCs w:val="18"/>
                <w:lang w:val="es-CR"/>
              </w:rPr>
              <w:t>Lexmark</w:t>
            </w:r>
            <w:proofErr w:type="spellEnd"/>
            <w:r w:rsidRPr="00997BFD">
              <w:rPr>
                <w:rFonts w:ascii="Arial" w:eastAsia="Calibri" w:hAnsi="Arial" w:cs="Arial"/>
                <w:sz w:val="18"/>
                <w:szCs w:val="18"/>
                <w:lang w:val="es-CR"/>
              </w:rPr>
              <w:t xml:space="preserve"> MS4 10dn y seis juegos de tintas a razón de 4 cartuchos cada uno para impresora multifuncional.</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46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2-02-03-01</w:t>
            </w:r>
          </w:p>
        </w:tc>
        <w:tc>
          <w:tcPr>
            <w:tcW w:w="2351"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Alimentos y Bebidas</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600,000.00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Abastecimiento del café en polvo y azúcar para el consumo de la Oficina y atención de visitantes.</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115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2-03-04-01</w:t>
            </w:r>
          </w:p>
        </w:tc>
        <w:tc>
          <w:tcPr>
            <w:tcW w:w="2351"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Materiales y productos eléctricos, telefónicos y de cómputo</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200,000.00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Adquisición de otros materiales y productos eléctricos, telefónicos y de cómputo necesarios para el normal funcionamiento de la Oficina.</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69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2-99-01-01</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Útiles y materiales de oficina y cómputo</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927,000.00</w:t>
            </w:r>
          </w:p>
        </w:tc>
        <w:tc>
          <w:tcPr>
            <w:tcW w:w="1368"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Adquisición de materiales y suministros de oficina necesarios para las labores de auditoría.</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69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2-99-03-01</w:t>
            </w:r>
          </w:p>
        </w:tc>
        <w:tc>
          <w:tcPr>
            <w:tcW w:w="2351"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Productos de papel, cartón e impresos</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1,400,000.00</w:t>
            </w:r>
          </w:p>
        </w:tc>
        <w:tc>
          <w:tcPr>
            <w:tcW w:w="1368" w:type="dxa"/>
            <w:tcBorders>
              <w:top w:val="nil"/>
              <w:left w:val="nil"/>
              <w:bottom w:val="nil"/>
              <w:right w:val="nil"/>
            </w:tcBorders>
            <w:shd w:val="clear" w:color="auto" w:fill="auto"/>
            <w:noWrap/>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Adquisición de materiales y suministros de oficina: papel, carpetas, entre otros.</w:t>
            </w:r>
          </w:p>
        </w:tc>
      </w:tr>
      <w:tr w:rsidR="00997BFD" w:rsidRPr="00997BFD" w:rsidTr="00FF595A">
        <w:trPr>
          <w:trHeight w:val="69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2-99-05-01</w:t>
            </w:r>
          </w:p>
        </w:tc>
        <w:tc>
          <w:tcPr>
            <w:tcW w:w="2351" w:type="dxa"/>
            <w:tcBorders>
              <w:top w:val="nil"/>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Útiles y materiales de limpieza</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160,000.00</w:t>
            </w:r>
          </w:p>
        </w:tc>
        <w:tc>
          <w:tcPr>
            <w:tcW w:w="1368" w:type="dxa"/>
            <w:tcBorders>
              <w:top w:val="nil"/>
              <w:left w:val="nil"/>
              <w:bottom w:val="nil"/>
              <w:right w:val="nil"/>
            </w:tcBorders>
            <w:shd w:val="clear" w:color="auto" w:fill="auto"/>
            <w:noWrap/>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 xml:space="preserve">Útiles varios necesarios para mantener la limpieza de las instalaciones. </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690"/>
        </w:trPr>
        <w:tc>
          <w:tcPr>
            <w:tcW w:w="1134"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2-99-07-01</w:t>
            </w:r>
          </w:p>
        </w:tc>
        <w:tc>
          <w:tcPr>
            <w:tcW w:w="2351" w:type="dxa"/>
            <w:tcBorders>
              <w:top w:val="nil"/>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Útiles y materiales de cocina y comedor</w:t>
            </w:r>
          </w:p>
        </w:tc>
        <w:tc>
          <w:tcPr>
            <w:tcW w:w="1385" w:type="dxa"/>
            <w:tcBorders>
              <w:top w:val="nil"/>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300,000.00</w:t>
            </w:r>
          </w:p>
        </w:tc>
        <w:tc>
          <w:tcPr>
            <w:tcW w:w="1368" w:type="dxa"/>
            <w:tcBorders>
              <w:top w:val="nil"/>
              <w:left w:val="nil"/>
              <w:bottom w:val="nil"/>
              <w:right w:val="nil"/>
            </w:tcBorders>
            <w:shd w:val="clear" w:color="auto" w:fill="auto"/>
            <w:noWrap/>
            <w:hideMark/>
          </w:tcPr>
          <w:p w:rsidR="00997BFD" w:rsidRPr="00997BFD" w:rsidRDefault="00997BFD" w:rsidP="00997BFD">
            <w:pPr>
              <w:jc w:val="right"/>
              <w:rPr>
                <w:rFonts w:ascii="Arial" w:eastAsia="Calibri" w:hAnsi="Arial" w:cs="Arial"/>
                <w:sz w:val="18"/>
                <w:szCs w:val="18"/>
                <w:lang w:val="es-CR"/>
              </w:rPr>
            </w:pPr>
          </w:p>
        </w:tc>
        <w:tc>
          <w:tcPr>
            <w:tcW w:w="3827" w:type="dxa"/>
            <w:tcBorders>
              <w:top w:val="nil"/>
              <w:left w:val="nil"/>
              <w:bottom w:val="nil"/>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Útiles varios necesarios para la atención de visitantes y realización de actividades. Reposición de artículos de vajilla: platos y tazas</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700"/>
        </w:trPr>
        <w:tc>
          <w:tcPr>
            <w:tcW w:w="1134" w:type="dxa"/>
            <w:tcBorders>
              <w:top w:val="nil"/>
              <w:left w:val="nil"/>
              <w:bottom w:val="single" w:sz="4" w:space="0" w:color="auto"/>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lastRenderedPageBreak/>
              <w:t>2-99-99-01</w:t>
            </w:r>
          </w:p>
        </w:tc>
        <w:tc>
          <w:tcPr>
            <w:tcW w:w="2351" w:type="dxa"/>
            <w:tcBorders>
              <w:top w:val="nil"/>
              <w:left w:val="nil"/>
              <w:bottom w:val="single" w:sz="4" w:space="0" w:color="auto"/>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Otros útiles, materiales y suministros</w:t>
            </w:r>
          </w:p>
        </w:tc>
        <w:tc>
          <w:tcPr>
            <w:tcW w:w="1385" w:type="dxa"/>
            <w:tcBorders>
              <w:top w:val="nil"/>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145,000.00</w:t>
            </w:r>
          </w:p>
        </w:tc>
        <w:tc>
          <w:tcPr>
            <w:tcW w:w="1368" w:type="dxa"/>
            <w:tcBorders>
              <w:top w:val="nil"/>
              <w:left w:val="nil"/>
              <w:bottom w:val="single" w:sz="4" w:space="0" w:color="auto"/>
              <w:right w:val="nil"/>
            </w:tcBorders>
            <w:shd w:val="clear" w:color="auto" w:fill="auto"/>
            <w:noWrap/>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 </w:t>
            </w:r>
          </w:p>
        </w:tc>
        <w:tc>
          <w:tcPr>
            <w:tcW w:w="3827" w:type="dxa"/>
            <w:tcBorders>
              <w:top w:val="nil"/>
              <w:left w:val="nil"/>
              <w:bottom w:val="single" w:sz="4" w:space="0" w:color="auto"/>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Adquisición de otros materiales y suministros de oficina, necesarios para el desempeño de las labores de auditoría</w:t>
            </w:r>
          </w:p>
        </w:tc>
      </w:tr>
      <w:tr w:rsidR="00997BFD" w:rsidRPr="00997BFD" w:rsidTr="00FF595A">
        <w:trPr>
          <w:trHeight w:val="300"/>
        </w:trPr>
        <w:tc>
          <w:tcPr>
            <w:tcW w:w="3485" w:type="dxa"/>
            <w:gridSpan w:val="2"/>
            <w:tcBorders>
              <w:left w:val="nil"/>
              <w:bottom w:val="single" w:sz="4" w:space="0" w:color="auto"/>
              <w:right w:val="nil"/>
            </w:tcBorders>
            <w:shd w:val="clear" w:color="auto" w:fill="auto"/>
            <w:noWrap/>
            <w:vAlign w:val="center"/>
            <w:hideMark/>
          </w:tcPr>
          <w:p w:rsidR="00997BFD" w:rsidRPr="00997BFD" w:rsidRDefault="00997BFD" w:rsidP="00997BFD">
            <w:pPr>
              <w:rPr>
                <w:rFonts w:ascii="Arial" w:eastAsia="Calibri" w:hAnsi="Arial" w:cs="Arial"/>
                <w:b/>
                <w:bCs/>
                <w:sz w:val="18"/>
                <w:szCs w:val="18"/>
                <w:lang w:val="es-CR"/>
              </w:rPr>
            </w:pPr>
            <w:r w:rsidRPr="00997BFD">
              <w:rPr>
                <w:rFonts w:ascii="Arial" w:eastAsia="Calibri" w:hAnsi="Arial" w:cs="Arial"/>
                <w:b/>
                <w:bCs/>
                <w:sz w:val="18"/>
                <w:szCs w:val="18"/>
                <w:lang w:val="es-CR"/>
              </w:rPr>
              <w:t>BIENES DURADEROS</w:t>
            </w:r>
          </w:p>
        </w:tc>
        <w:tc>
          <w:tcPr>
            <w:tcW w:w="1385" w:type="dxa"/>
            <w:tcBorders>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bCs/>
                <w:sz w:val="18"/>
                <w:szCs w:val="18"/>
                <w:lang w:val="es-CR"/>
              </w:rPr>
              <w:t> </w:t>
            </w:r>
          </w:p>
        </w:tc>
        <w:tc>
          <w:tcPr>
            <w:tcW w:w="1368" w:type="dxa"/>
            <w:tcBorders>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b/>
                <w:bCs/>
                <w:sz w:val="18"/>
                <w:szCs w:val="18"/>
                <w:lang w:val="es-CR"/>
              </w:rPr>
            </w:pPr>
            <w:r w:rsidRPr="00997BFD">
              <w:rPr>
                <w:rFonts w:ascii="Arial" w:eastAsia="Calibri" w:hAnsi="Arial" w:cs="Arial"/>
                <w:b/>
                <w:bCs/>
                <w:sz w:val="18"/>
                <w:szCs w:val="18"/>
                <w:lang w:val="es-CR"/>
              </w:rPr>
              <w:t>5,010,000.00</w:t>
            </w:r>
          </w:p>
        </w:tc>
        <w:tc>
          <w:tcPr>
            <w:tcW w:w="3827" w:type="dxa"/>
            <w:tcBorders>
              <w:left w:val="nil"/>
              <w:bottom w:val="single" w:sz="4" w:space="0" w:color="auto"/>
              <w:right w:val="nil"/>
            </w:tcBorders>
            <w:shd w:val="clear" w:color="auto" w:fill="auto"/>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bCs/>
                <w:sz w:val="18"/>
                <w:szCs w:val="18"/>
                <w:lang w:val="es-CR"/>
              </w:rPr>
              <w:t> </w:t>
            </w:r>
          </w:p>
        </w:tc>
      </w:tr>
      <w:tr w:rsidR="00997BFD" w:rsidRPr="00997BFD" w:rsidTr="00FF595A">
        <w:trPr>
          <w:trHeight w:val="920"/>
        </w:trPr>
        <w:tc>
          <w:tcPr>
            <w:tcW w:w="1134" w:type="dxa"/>
            <w:tcBorders>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5-01-04-01</w:t>
            </w:r>
          </w:p>
        </w:tc>
        <w:tc>
          <w:tcPr>
            <w:tcW w:w="2351" w:type="dxa"/>
            <w:tcBorders>
              <w:left w:val="nil"/>
              <w:bottom w:val="nil"/>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Equipo y Mobiliario de Oficina</w:t>
            </w:r>
          </w:p>
        </w:tc>
        <w:tc>
          <w:tcPr>
            <w:tcW w:w="1385" w:type="dxa"/>
            <w:tcBorders>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 xml:space="preserve"> 4,500,000.00 </w:t>
            </w:r>
          </w:p>
        </w:tc>
        <w:tc>
          <w:tcPr>
            <w:tcW w:w="1368" w:type="dxa"/>
            <w:tcBorders>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left w:val="nil"/>
              <w:bottom w:val="nil"/>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Dotación de mobiliario para 5 oficinas en el nuevo edificio: escritorios, bibliotecas, sillas ergonómicas, sillas de espera, mueble para impresora, ventiladores. Renovación de la máquina destructora de papel.</w:t>
            </w:r>
          </w:p>
        </w:tc>
      </w:tr>
      <w:tr w:rsidR="00997BFD" w:rsidRPr="00997BFD" w:rsidTr="00FF595A">
        <w:trPr>
          <w:trHeight w:val="1679"/>
        </w:trPr>
        <w:tc>
          <w:tcPr>
            <w:tcW w:w="1134" w:type="dxa"/>
            <w:tcBorders>
              <w:top w:val="nil"/>
              <w:left w:val="nil"/>
              <w:bottom w:val="single" w:sz="4" w:space="0" w:color="auto"/>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5-01-05-01</w:t>
            </w:r>
          </w:p>
        </w:tc>
        <w:tc>
          <w:tcPr>
            <w:tcW w:w="2351" w:type="dxa"/>
            <w:tcBorders>
              <w:top w:val="nil"/>
              <w:left w:val="nil"/>
              <w:bottom w:val="single" w:sz="4" w:space="0" w:color="auto"/>
              <w:right w:val="nil"/>
            </w:tcBorders>
            <w:shd w:val="clear" w:color="auto" w:fill="auto"/>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Equipo y programas de cómputo</w:t>
            </w:r>
          </w:p>
        </w:tc>
        <w:tc>
          <w:tcPr>
            <w:tcW w:w="1385" w:type="dxa"/>
            <w:tcBorders>
              <w:top w:val="nil"/>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 xml:space="preserve">    510,000.00 </w:t>
            </w:r>
          </w:p>
        </w:tc>
        <w:tc>
          <w:tcPr>
            <w:tcW w:w="1368" w:type="dxa"/>
            <w:tcBorders>
              <w:top w:val="nil"/>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b/>
                <w:bCs/>
                <w:sz w:val="18"/>
                <w:szCs w:val="18"/>
                <w:lang w:val="es-CR"/>
              </w:rPr>
            </w:pPr>
          </w:p>
        </w:tc>
        <w:tc>
          <w:tcPr>
            <w:tcW w:w="3827" w:type="dxa"/>
            <w:tcBorders>
              <w:top w:val="nil"/>
              <w:left w:val="nil"/>
              <w:bottom w:val="single" w:sz="4" w:space="0" w:color="auto"/>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p>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Adquisición de 4 UPS, para soporte del equipo computacional en las oficinas del nuevo edificio.</w:t>
            </w:r>
            <w:r w:rsidRPr="00997BFD">
              <w:rPr>
                <w:rFonts w:ascii="Arial" w:eastAsia="Calibri" w:hAnsi="Arial" w:cs="Arial"/>
                <w:sz w:val="18"/>
                <w:szCs w:val="18"/>
                <w:lang w:val="es-CR"/>
              </w:rPr>
              <w:br/>
            </w:r>
            <w:r w:rsidRPr="00997BFD">
              <w:rPr>
                <w:rFonts w:ascii="Arial" w:eastAsia="Calibri" w:hAnsi="Arial" w:cs="Arial"/>
                <w:sz w:val="18"/>
                <w:szCs w:val="18"/>
                <w:lang w:val="es-CR"/>
              </w:rPr>
              <w:br/>
              <w:t xml:space="preserve">La dotación de equipo computacional para la Auditoría Interna, se incluye en el programa de renovación administrado por el </w:t>
            </w:r>
            <w:proofErr w:type="spellStart"/>
            <w:r w:rsidRPr="00997BFD">
              <w:rPr>
                <w:rFonts w:ascii="Arial" w:eastAsia="Calibri" w:hAnsi="Arial" w:cs="Arial"/>
                <w:sz w:val="18"/>
                <w:szCs w:val="18"/>
                <w:lang w:val="es-CR"/>
              </w:rPr>
              <w:t>DATIC</w:t>
            </w:r>
            <w:proofErr w:type="spellEnd"/>
            <w:r w:rsidRPr="00997BFD">
              <w:rPr>
                <w:rFonts w:ascii="Arial" w:eastAsia="Calibri" w:hAnsi="Arial" w:cs="Arial"/>
                <w:sz w:val="18"/>
                <w:szCs w:val="18"/>
                <w:lang w:val="es-CR"/>
              </w:rPr>
              <w:t>.</w:t>
            </w:r>
          </w:p>
        </w:tc>
      </w:tr>
      <w:tr w:rsidR="00997BFD" w:rsidRPr="00997BFD" w:rsidTr="00FF595A">
        <w:trPr>
          <w:trHeight w:val="300"/>
        </w:trPr>
        <w:tc>
          <w:tcPr>
            <w:tcW w:w="3485" w:type="dxa"/>
            <w:gridSpan w:val="2"/>
            <w:tcBorders>
              <w:left w:val="nil"/>
              <w:bottom w:val="single" w:sz="4" w:space="0" w:color="auto"/>
              <w:right w:val="nil"/>
            </w:tcBorders>
            <w:shd w:val="clear" w:color="auto" w:fill="auto"/>
            <w:noWrap/>
            <w:vAlign w:val="center"/>
            <w:hideMark/>
          </w:tcPr>
          <w:p w:rsidR="00997BFD" w:rsidRPr="00997BFD" w:rsidRDefault="00997BFD" w:rsidP="00997BFD">
            <w:pPr>
              <w:rPr>
                <w:rFonts w:ascii="Arial" w:eastAsia="Calibri" w:hAnsi="Arial" w:cs="Arial"/>
                <w:b/>
                <w:bCs/>
                <w:sz w:val="18"/>
                <w:szCs w:val="18"/>
                <w:lang w:val="es-CR"/>
              </w:rPr>
            </w:pPr>
            <w:r w:rsidRPr="00997BFD">
              <w:rPr>
                <w:rFonts w:ascii="Arial" w:eastAsia="Calibri" w:hAnsi="Arial" w:cs="Arial"/>
                <w:b/>
                <w:bCs/>
                <w:sz w:val="18"/>
                <w:szCs w:val="18"/>
                <w:lang w:val="es-CR"/>
              </w:rPr>
              <w:t>SERVICIOS INTERNOS</w:t>
            </w:r>
          </w:p>
        </w:tc>
        <w:tc>
          <w:tcPr>
            <w:tcW w:w="1385" w:type="dxa"/>
            <w:tcBorders>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bCs/>
                <w:sz w:val="18"/>
                <w:szCs w:val="18"/>
                <w:lang w:val="es-CR"/>
              </w:rPr>
              <w:t> </w:t>
            </w:r>
          </w:p>
        </w:tc>
        <w:tc>
          <w:tcPr>
            <w:tcW w:w="1368" w:type="dxa"/>
            <w:tcBorders>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b/>
                <w:bCs/>
                <w:sz w:val="18"/>
                <w:szCs w:val="18"/>
                <w:lang w:val="es-CR"/>
              </w:rPr>
            </w:pPr>
            <w:r w:rsidRPr="00997BFD">
              <w:rPr>
                <w:rFonts w:ascii="Arial" w:eastAsia="Calibri" w:hAnsi="Arial" w:cs="Arial"/>
                <w:b/>
                <w:bCs/>
                <w:sz w:val="18"/>
                <w:szCs w:val="18"/>
                <w:lang w:val="es-CR"/>
              </w:rPr>
              <w:t>3,690,000.00</w:t>
            </w:r>
          </w:p>
        </w:tc>
        <w:tc>
          <w:tcPr>
            <w:tcW w:w="3827" w:type="dxa"/>
            <w:tcBorders>
              <w:left w:val="nil"/>
              <w:bottom w:val="single" w:sz="4" w:space="0" w:color="auto"/>
              <w:right w:val="nil"/>
            </w:tcBorders>
            <w:shd w:val="clear" w:color="auto" w:fill="auto"/>
            <w:noWrap/>
            <w:vAlign w:val="center"/>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bCs/>
                <w:sz w:val="18"/>
                <w:szCs w:val="18"/>
                <w:lang w:val="es-CR"/>
              </w:rPr>
              <w:t> </w:t>
            </w:r>
          </w:p>
        </w:tc>
      </w:tr>
      <w:tr w:rsidR="00997BFD" w:rsidRPr="00997BFD" w:rsidTr="00FF595A">
        <w:trPr>
          <w:trHeight w:val="460"/>
        </w:trPr>
        <w:tc>
          <w:tcPr>
            <w:tcW w:w="1134" w:type="dxa"/>
            <w:tcBorders>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9-05-10-01</w:t>
            </w:r>
          </w:p>
        </w:tc>
        <w:tc>
          <w:tcPr>
            <w:tcW w:w="2351" w:type="dxa"/>
            <w:tcBorders>
              <w:left w:val="nil"/>
              <w:bottom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Servicio unidad de transportes</w:t>
            </w:r>
          </w:p>
        </w:tc>
        <w:tc>
          <w:tcPr>
            <w:tcW w:w="1385" w:type="dxa"/>
            <w:tcBorders>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3,500,000.00</w:t>
            </w:r>
          </w:p>
        </w:tc>
        <w:tc>
          <w:tcPr>
            <w:tcW w:w="1368" w:type="dxa"/>
            <w:tcBorders>
              <w:left w:val="nil"/>
              <w:bottom w:val="nil"/>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p>
        </w:tc>
        <w:tc>
          <w:tcPr>
            <w:tcW w:w="3827" w:type="dxa"/>
            <w:tcBorders>
              <w:left w:val="nil"/>
              <w:bottom w:val="nil"/>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Visitas a Sedes Regionales, Centros Académicos, Contraloría General de la República y otros</w:t>
            </w:r>
          </w:p>
          <w:p w:rsidR="00997BFD" w:rsidRPr="00997BFD" w:rsidRDefault="00997BFD" w:rsidP="00997BFD">
            <w:pPr>
              <w:jc w:val="both"/>
              <w:rPr>
                <w:rFonts w:ascii="Arial" w:eastAsia="Calibri" w:hAnsi="Arial" w:cs="Arial"/>
                <w:sz w:val="18"/>
                <w:szCs w:val="18"/>
                <w:lang w:val="es-CR"/>
              </w:rPr>
            </w:pPr>
          </w:p>
        </w:tc>
      </w:tr>
      <w:tr w:rsidR="00997BFD" w:rsidRPr="00997BFD" w:rsidTr="00FF595A">
        <w:trPr>
          <w:trHeight w:val="703"/>
        </w:trPr>
        <w:tc>
          <w:tcPr>
            <w:tcW w:w="1134" w:type="dxa"/>
            <w:tcBorders>
              <w:top w:val="nil"/>
              <w:left w:val="nil"/>
              <w:bottom w:val="single" w:sz="4" w:space="0" w:color="auto"/>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9-05-11-01</w:t>
            </w:r>
          </w:p>
        </w:tc>
        <w:tc>
          <w:tcPr>
            <w:tcW w:w="2351" w:type="dxa"/>
            <w:tcBorders>
              <w:top w:val="nil"/>
              <w:left w:val="nil"/>
              <w:bottom w:val="single" w:sz="4" w:space="0" w:color="auto"/>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sz w:val="18"/>
                <w:szCs w:val="18"/>
                <w:lang w:val="es-CR"/>
              </w:rPr>
              <w:t>Servicio taller de publicaciones</w:t>
            </w:r>
          </w:p>
        </w:tc>
        <w:tc>
          <w:tcPr>
            <w:tcW w:w="1385" w:type="dxa"/>
            <w:tcBorders>
              <w:top w:val="nil"/>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sz w:val="18"/>
                <w:szCs w:val="18"/>
                <w:lang w:val="es-CR"/>
              </w:rPr>
            </w:pPr>
            <w:r w:rsidRPr="00997BFD">
              <w:rPr>
                <w:rFonts w:ascii="Arial" w:eastAsia="Calibri" w:hAnsi="Arial" w:cs="Arial"/>
                <w:sz w:val="18"/>
                <w:szCs w:val="18"/>
                <w:lang w:val="es-CR"/>
              </w:rPr>
              <w:t>190,000.00</w:t>
            </w:r>
          </w:p>
        </w:tc>
        <w:tc>
          <w:tcPr>
            <w:tcW w:w="1368" w:type="dxa"/>
            <w:tcBorders>
              <w:top w:val="nil"/>
              <w:left w:val="nil"/>
              <w:bottom w:val="single" w:sz="4" w:space="0" w:color="auto"/>
              <w:right w:val="nil"/>
            </w:tcBorders>
            <w:shd w:val="clear" w:color="auto" w:fill="auto"/>
            <w:noWrap/>
            <w:vAlign w:val="center"/>
            <w:hideMark/>
          </w:tcPr>
          <w:p w:rsidR="00997BFD" w:rsidRPr="00997BFD" w:rsidRDefault="00997BFD" w:rsidP="00997BFD">
            <w:pPr>
              <w:jc w:val="right"/>
              <w:rPr>
                <w:rFonts w:ascii="Arial" w:eastAsia="Calibri" w:hAnsi="Arial" w:cs="Arial"/>
                <w:b/>
                <w:bCs/>
                <w:sz w:val="18"/>
                <w:szCs w:val="18"/>
                <w:lang w:val="es-CR"/>
              </w:rPr>
            </w:pPr>
            <w:r w:rsidRPr="00997BFD">
              <w:rPr>
                <w:rFonts w:ascii="Arial" w:eastAsia="Calibri" w:hAnsi="Arial" w:cs="Arial"/>
                <w:b/>
                <w:bCs/>
                <w:sz w:val="18"/>
                <w:szCs w:val="18"/>
                <w:lang w:val="es-CR"/>
              </w:rPr>
              <w:t> </w:t>
            </w:r>
          </w:p>
        </w:tc>
        <w:tc>
          <w:tcPr>
            <w:tcW w:w="3827" w:type="dxa"/>
            <w:tcBorders>
              <w:top w:val="nil"/>
              <w:left w:val="nil"/>
              <w:bottom w:val="single" w:sz="4" w:space="0" w:color="auto"/>
              <w:right w:val="nil"/>
            </w:tcBorders>
            <w:shd w:val="clear" w:color="auto" w:fill="auto"/>
            <w:hideMark/>
          </w:tcPr>
          <w:p w:rsidR="00997BFD" w:rsidRPr="00997BFD" w:rsidRDefault="00997BFD" w:rsidP="00997BFD">
            <w:pPr>
              <w:jc w:val="both"/>
              <w:rPr>
                <w:rFonts w:ascii="Arial" w:eastAsia="Calibri" w:hAnsi="Arial" w:cs="Arial"/>
                <w:sz w:val="18"/>
                <w:szCs w:val="18"/>
                <w:lang w:val="es-CR"/>
              </w:rPr>
            </w:pPr>
            <w:r w:rsidRPr="00997BFD">
              <w:rPr>
                <w:rFonts w:ascii="Arial" w:eastAsia="Calibri" w:hAnsi="Arial" w:cs="Arial"/>
                <w:sz w:val="18"/>
                <w:szCs w:val="18"/>
                <w:lang w:val="es-CR"/>
              </w:rPr>
              <w:t>Confección de materiales propios de Auditoría Interna</w:t>
            </w:r>
          </w:p>
        </w:tc>
      </w:tr>
      <w:tr w:rsidR="00997BFD" w:rsidRPr="00997BFD" w:rsidTr="00FF595A">
        <w:trPr>
          <w:trHeight w:val="420"/>
        </w:trPr>
        <w:tc>
          <w:tcPr>
            <w:tcW w:w="4870" w:type="dxa"/>
            <w:gridSpan w:val="3"/>
            <w:tcBorders>
              <w:left w:val="nil"/>
              <w:right w:val="nil"/>
            </w:tcBorders>
            <w:shd w:val="clear" w:color="auto" w:fill="auto"/>
            <w:noWrap/>
            <w:vAlign w:val="center"/>
            <w:hideMark/>
          </w:tcPr>
          <w:p w:rsidR="00997BFD" w:rsidRPr="00997BFD" w:rsidRDefault="00997BFD" w:rsidP="00997BFD">
            <w:pPr>
              <w:rPr>
                <w:rFonts w:ascii="Arial" w:eastAsia="Calibri" w:hAnsi="Arial" w:cs="Arial"/>
                <w:b/>
                <w:bCs/>
                <w:sz w:val="18"/>
                <w:szCs w:val="18"/>
                <w:lang w:val="es-CR"/>
              </w:rPr>
            </w:pPr>
            <w:r w:rsidRPr="00997BFD">
              <w:rPr>
                <w:rFonts w:ascii="Arial" w:eastAsia="Calibri" w:hAnsi="Arial" w:cs="Arial"/>
                <w:b/>
                <w:bCs/>
                <w:sz w:val="18"/>
                <w:szCs w:val="18"/>
                <w:lang w:val="es-CR"/>
              </w:rPr>
              <w:t>TOTAL REQUERIMIENTOS PRESUPUESTO</w:t>
            </w:r>
          </w:p>
        </w:tc>
        <w:tc>
          <w:tcPr>
            <w:tcW w:w="1368" w:type="dxa"/>
            <w:tcBorders>
              <w:left w:val="nil"/>
              <w:right w:val="nil"/>
            </w:tcBorders>
            <w:shd w:val="clear" w:color="auto" w:fill="auto"/>
            <w:noWrap/>
            <w:vAlign w:val="center"/>
            <w:hideMark/>
          </w:tcPr>
          <w:p w:rsidR="00997BFD" w:rsidRPr="00997BFD" w:rsidRDefault="00997BFD" w:rsidP="00997BFD">
            <w:pPr>
              <w:jc w:val="right"/>
              <w:rPr>
                <w:rFonts w:ascii="Arial" w:eastAsia="Calibri" w:hAnsi="Arial" w:cs="Arial"/>
                <w:b/>
                <w:bCs/>
                <w:sz w:val="18"/>
                <w:szCs w:val="18"/>
                <w:lang w:val="es-CR"/>
              </w:rPr>
            </w:pPr>
            <w:r w:rsidRPr="00997BFD">
              <w:rPr>
                <w:rFonts w:ascii="Arial" w:eastAsia="Calibri" w:hAnsi="Arial" w:cs="Arial"/>
                <w:b/>
                <w:bCs/>
                <w:sz w:val="18"/>
                <w:szCs w:val="18"/>
                <w:lang w:val="es-CR"/>
              </w:rPr>
              <w:t>24,844,000.00</w:t>
            </w:r>
          </w:p>
        </w:tc>
        <w:tc>
          <w:tcPr>
            <w:tcW w:w="3827" w:type="dxa"/>
            <w:tcBorders>
              <w:left w:val="nil"/>
              <w:right w:val="nil"/>
            </w:tcBorders>
            <w:shd w:val="clear" w:color="auto" w:fill="auto"/>
            <w:noWrap/>
            <w:vAlign w:val="center"/>
            <w:hideMark/>
          </w:tcPr>
          <w:p w:rsidR="00997BFD" w:rsidRPr="00997BFD" w:rsidRDefault="00997BFD" w:rsidP="00997BFD">
            <w:pPr>
              <w:rPr>
                <w:rFonts w:ascii="Arial" w:eastAsia="Calibri" w:hAnsi="Arial" w:cs="Arial"/>
                <w:sz w:val="18"/>
                <w:szCs w:val="18"/>
                <w:lang w:val="es-CR"/>
              </w:rPr>
            </w:pPr>
            <w:r w:rsidRPr="00997BFD">
              <w:rPr>
                <w:rFonts w:ascii="Arial" w:eastAsia="Calibri" w:hAnsi="Arial" w:cs="Arial"/>
                <w:bCs/>
                <w:sz w:val="18"/>
                <w:szCs w:val="18"/>
                <w:lang w:val="es-CR"/>
              </w:rPr>
              <w:t> </w:t>
            </w:r>
          </w:p>
        </w:tc>
      </w:tr>
    </w:tbl>
    <w:p w:rsidR="00997BFD" w:rsidRPr="00997BFD" w:rsidRDefault="00997BFD" w:rsidP="00997BFD">
      <w:pPr>
        <w:jc w:val="both"/>
        <w:rPr>
          <w:rFonts w:ascii="Arial" w:hAnsi="Arial" w:cs="Arial"/>
          <w:sz w:val="22"/>
          <w:szCs w:val="22"/>
          <w:lang w:val="es-CR"/>
        </w:rPr>
      </w:pPr>
    </w:p>
    <w:p w:rsidR="00997BFD" w:rsidRPr="00997BFD" w:rsidRDefault="00997BFD" w:rsidP="00997BFD">
      <w:pPr>
        <w:ind w:left="284"/>
        <w:rPr>
          <w:rFonts w:ascii="Arial" w:hAnsi="Arial" w:cs="Arial"/>
          <w:i/>
          <w:sz w:val="20"/>
          <w:szCs w:val="20"/>
          <w:lang w:val="es-CR"/>
        </w:rPr>
      </w:pPr>
    </w:p>
    <w:p w:rsidR="00997BFD" w:rsidRPr="00997BFD" w:rsidRDefault="00997BFD" w:rsidP="00997BFD">
      <w:pPr>
        <w:numPr>
          <w:ilvl w:val="0"/>
          <w:numId w:val="31"/>
        </w:numPr>
        <w:jc w:val="both"/>
        <w:rPr>
          <w:rFonts w:ascii="Arial" w:hAnsi="Arial" w:cs="Arial"/>
        </w:rPr>
      </w:pPr>
      <w:r w:rsidRPr="00997BFD">
        <w:rPr>
          <w:rFonts w:ascii="Arial" w:hAnsi="Arial" w:cs="Arial"/>
        </w:rPr>
        <w:t xml:space="preserve">La Comisión de Planificación y Administración, en las reuniones No. 730-2017 y 731-2017, realizadas el 20 y 27 de julio 2017, respectivamente, revisa ampliamente el Informe Técnico referente al estudio sobre necesidades de recursos presupuestarios de la Auditoría Interna para el año 2018, adjunto al oficio AUDI-129-2017.  </w:t>
      </w:r>
    </w:p>
    <w:p w:rsidR="00997BFD" w:rsidRPr="00997BFD" w:rsidRDefault="00997BFD" w:rsidP="00997BFD">
      <w:pPr>
        <w:ind w:left="284"/>
        <w:jc w:val="both"/>
        <w:rPr>
          <w:rFonts w:ascii="Arial" w:hAnsi="Arial" w:cs="Arial"/>
          <w:sz w:val="20"/>
          <w:szCs w:val="20"/>
        </w:rPr>
      </w:pPr>
    </w:p>
    <w:p w:rsidR="00997BFD" w:rsidRPr="00997BFD" w:rsidRDefault="00997BFD" w:rsidP="00997BFD">
      <w:pPr>
        <w:ind w:left="284"/>
        <w:jc w:val="both"/>
        <w:rPr>
          <w:rFonts w:ascii="Arial" w:hAnsi="Arial" w:cs="Arial"/>
        </w:rPr>
      </w:pPr>
      <w:r w:rsidRPr="00997BFD">
        <w:rPr>
          <w:rFonts w:ascii="Arial" w:hAnsi="Arial" w:cs="Arial"/>
        </w:rPr>
        <w:t xml:space="preserve">De acuerdo al análisis de la solicitud, hay voluntad de atender la petitoria de la Auditoría Interna, en cuanto a los recursos presupuestarios; sobre la solicitud de las dos plazas de Auditor (a) se atiende parcialmente ya que de acuerdo a las proyecciones presupuestarias, los recursos para el crecimiento de plazas son limitados, por lo que se dispone elevar la siguiente propuesta al Pleno para el jueves 03 de agosto de 2017. </w:t>
      </w:r>
    </w:p>
    <w:p w:rsidR="00997BFD" w:rsidRPr="00997BFD" w:rsidRDefault="00997BFD" w:rsidP="00997BFD">
      <w:pPr>
        <w:jc w:val="both"/>
        <w:rPr>
          <w:rFonts w:ascii="Arial" w:hAnsi="Arial" w:cs="Arial"/>
          <w:sz w:val="22"/>
          <w:szCs w:val="22"/>
        </w:rPr>
      </w:pPr>
    </w:p>
    <w:p w:rsidR="00997BFD" w:rsidRPr="00997BFD" w:rsidRDefault="00997BFD" w:rsidP="00997BFD">
      <w:pPr>
        <w:jc w:val="both"/>
        <w:rPr>
          <w:rFonts w:ascii="Arial" w:hAnsi="Arial" w:cs="Arial"/>
          <w:b/>
          <w:bCs/>
        </w:rPr>
      </w:pPr>
      <w:r w:rsidRPr="00997BFD">
        <w:rPr>
          <w:rFonts w:ascii="Arial" w:hAnsi="Arial" w:cs="Arial"/>
          <w:b/>
          <w:bCs/>
        </w:rPr>
        <w:t>SE</w:t>
      </w:r>
      <w:r>
        <w:rPr>
          <w:rFonts w:ascii="Arial" w:hAnsi="Arial" w:cs="Arial"/>
          <w:b/>
          <w:bCs/>
        </w:rPr>
        <w:t xml:space="preserve"> ACUERDA</w:t>
      </w:r>
      <w:r w:rsidRPr="00997BFD">
        <w:rPr>
          <w:rFonts w:ascii="Arial" w:hAnsi="Arial" w:cs="Arial"/>
          <w:b/>
          <w:bCs/>
        </w:rPr>
        <w:t>:</w:t>
      </w:r>
    </w:p>
    <w:p w:rsidR="00997BFD" w:rsidRPr="00997BFD" w:rsidRDefault="00997BFD" w:rsidP="00997BFD">
      <w:pPr>
        <w:ind w:left="360"/>
        <w:contextualSpacing/>
        <w:jc w:val="both"/>
        <w:rPr>
          <w:rFonts w:ascii="Arial" w:hAnsi="Arial" w:cs="Arial"/>
          <w:sz w:val="20"/>
          <w:szCs w:val="20"/>
        </w:rPr>
      </w:pPr>
    </w:p>
    <w:p w:rsidR="00997BFD" w:rsidRPr="00997BFD" w:rsidRDefault="00997BFD" w:rsidP="00997BFD">
      <w:pPr>
        <w:numPr>
          <w:ilvl w:val="0"/>
          <w:numId w:val="30"/>
        </w:numPr>
        <w:ind w:left="426"/>
        <w:jc w:val="both"/>
        <w:rPr>
          <w:rFonts w:ascii="Arial" w:hAnsi="Arial" w:cs="Arial"/>
        </w:rPr>
      </w:pPr>
      <w:r w:rsidRPr="00997BFD">
        <w:rPr>
          <w:rFonts w:ascii="Arial" w:hAnsi="Arial" w:cs="Arial"/>
        </w:rPr>
        <w:t xml:space="preserve">Solicitar a la Rectoría incorporar en el Presupuesto Ordinario 2018 el contenido presupuestario para la Auditoría Interna, en las partidas y </w:t>
      </w:r>
      <w:proofErr w:type="spellStart"/>
      <w:r w:rsidRPr="00997BFD">
        <w:rPr>
          <w:rFonts w:ascii="Arial" w:hAnsi="Arial" w:cs="Arial"/>
        </w:rPr>
        <w:t>subpartidas</w:t>
      </w:r>
      <w:proofErr w:type="spellEnd"/>
      <w:r w:rsidRPr="00997BFD">
        <w:rPr>
          <w:rFonts w:ascii="Arial" w:hAnsi="Arial" w:cs="Arial"/>
        </w:rPr>
        <w:t xml:space="preserve">, solicitado mediante los oficios AUDI-129-2017 y AUDI-145-2017, por un monto total de </w:t>
      </w:r>
      <w:r w:rsidRPr="00997BFD">
        <w:rPr>
          <w:rFonts w:ascii="Arial" w:eastAsia="Calibri" w:hAnsi="Arial" w:cs="Arial"/>
          <w:bCs/>
          <w:lang w:val="es-CR"/>
        </w:rPr>
        <w:t xml:space="preserve">24.844,000.00 (veinticuatro millones, ochocientos cuarenta y cuatro mil colones), </w:t>
      </w:r>
      <w:r w:rsidRPr="00997BFD">
        <w:rPr>
          <w:rFonts w:ascii="Arial" w:hAnsi="Arial" w:cs="Arial"/>
        </w:rPr>
        <w:t>según documento adjunto.</w:t>
      </w:r>
    </w:p>
    <w:p w:rsidR="00997BFD" w:rsidRPr="00997BFD" w:rsidRDefault="00997BFD" w:rsidP="00997BFD">
      <w:pPr>
        <w:jc w:val="both"/>
        <w:rPr>
          <w:rFonts w:ascii="Arial" w:hAnsi="Arial" w:cs="Arial"/>
        </w:rPr>
      </w:pPr>
    </w:p>
    <w:p w:rsidR="00997BFD" w:rsidRPr="00997BFD" w:rsidRDefault="00997BFD" w:rsidP="00997BFD">
      <w:pPr>
        <w:numPr>
          <w:ilvl w:val="0"/>
          <w:numId w:val="30"/>
        </w:numPr>
        <w:ind w:left="426"/>
        <w:jc w:val="both"/>
        <w:rPr>
          <w:rFonts w:ascii="Arial" w:hAnsi="Arial" w:cs="Arial"/>
        </w:rPr>
      </w:pPr>
      <w:r w:rsidRPr="00997BFD">
        <w:rPr>
          <w:rFonts w:ascii="Arial" w:hAnsi="Arial" w:cs="Arial"/>
        </w:rPr>
        <w:lastRenderedPageBreak/>
        <w:t>Solicitar a la Rectoría la incorporación de una plaza de Auditor(a) dentro de la propuesta de formulación de plazas nuevas 2018.</w:t>
      </w:r>
    </w:p>
    <w:p w:rsidR="00772438" w:rsidRDefault="00772438" w:rsidP="00732AAB">
      <w:pPr>
        <w:ind w:right="-91"/>
        <w:jc w:val="both"/>
        <w:rPr>
          <w:rFonts w:ascii="Arial" w:hAnsi="Arial" w:cs="Arial"/>
          <w:b/>
          <w:sz w:val="16"/>
          <w:szCs w:val="16"/>
          <w:lang w:val="es-CR"/>
        </w:rPr>
      </w:pPr>
    </w:p>
    <w:p w:rsidR="00772438" w:rsidRPr="00A20EA7" w:rsidRDefault="00772438" w:rsidP="00997BFD">
      <w:pPr>
        <w:numPr>
          <w:ilvl w:val="0"/>
          <w:numId w:val="30"/>
        </w:numPr>
        <w:ind w:left="426"/>
        <w:jc w:val="both"/>
        <w:rPr>
          <w:rFonts w:ascii="Arial" w:eastAsia="Cambria" w:hAnsi="Arial" w:cs="Arial"/>
          <w:lang w:val="es-CR" w:eastAsia="en-US"/>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 </w:t>
      </w:r>
    </w:p>
    <w:p w:rsidR="00A20EA7" w:rsidRDefault="00A20EA7" w:rsidP="00A20EA7">
      <w:pPr>
        <w:pStyle w:val="Prrafodelista"/>
        <w:rPr>
          <w:rFonts w:ascii="Arial" w:eastAsia="Cambria" w:hAnsi="Arial" w:cs="Arial"/>
          <w:lang w:val="es-CR" w:eastAsia="en-US"/>
        </w:rPr>
      </w:pPr>
    </w:p>
    <w:p w:rsidR="00997BFD" w:rsidRPr="00997BFD" w:rsidRDefault="00997BFD" w:rsidP="00997BFD">
      <w:pPr>
        <w:spacing w:after="200"/>
        <w:jc w:val="both"/>
        <w:rPr>
          <w:rFonts w:ascii="Arial" w:hAnsi="Arial" w:cs="Arial"/>
          <w:b/>
          <w:color w:val="000000"/>
          <w:sz w:val="20"/>
          <w:szCs w:val="20"/>
          <w:lang w:val="es-CR"/>
        </w:rPr>
      </w:pPr>
      <w:r w:rsidRPr="00997BFD">
        <w:rPr>
          <w:rFonts w:ascii="Arial" w:hAnsi="Arial" w:cs="Arial"/>
          <w:b/>
          <w:i/>
          <w:sz w:val="22"/>
          <w:szCs w:val="22"/>
          <w:lang w:val="es-CR"/>
        </w:rPr>
        <w:t xml:space="preserve">Palabra clave: </w:t>
      </w:r>
      <w:r w:rsidRPr="00997BFD">
        <w:rPr>
          <w:rFonts w:ascii="Arial" w:hAnsi="Arial" w:cs="Arial"/>
          <w:b/>
          <w:color w:val="000000"/>
          <w:sz w:val="20"/>
          <w:szCs w:val="20"/>
          <w:lang w:val="es-CR"/>
        </w:rPr>
        <w:t xml:space="preserve">Recursos – </w:t>
      </w:r>
      <w:proofErr w:type="gramStart"/>
      <w:r w:rsidRPr="00997BFD">
        <w:rPr>
          <w:rFonts w:ascii="Arial" w:hAnsi="Arial" w:cs="Arial"/>
          <w:b/>
          <w:color w:val="000000"/>
          <w:sz w:val="20"/>
          <w:szCs w:val="20"/>
          <w:lang w:val="es-CR"/>
        </w:rPr>
        <w:t>presupuestarios  -</w:t>
      </w:r>
      <w:proofErr w:type="gramEnd"/>
      <w:r w:rsidRPr="00997BFD">
        <w:rPr>
          <w:rFonts w:ascii="Arial" w:hAnsi="Arial" w:cs="Arial"/>
          <w:b/>
          <w:color w:val="000000"/>
          <w:sz w:val="20"/>
          <w:szCs w:val="20"/>
          <w:lang w:val="es-CR"/>
        </w:rPr>
        <w:t xml:space="preserve">2018-Auditoría-Interna </w:t>
      </w:r>
    </w:p>
    <w:p w:rsidR="00A20EA7" w:rsidRPr="00A20EA7" w:rsidRDefault="00A20EA7" w:rsidP="00A20EA7">
      <w:pPr>
        <w:jc w:val="both"/>
        <w:rPr>
          <w:rFonts w:ascii="Arial" w:hAnsi="Arial" w:cs="Arial"/>
          <w:lang w:val="es-CR"/>
        </w:rPr>
      </w:pPr>
    </w:p>
    <w:p w:rsidR="00772438" w:rsidRPr="00A20EA7" w:rsidRDefault="00772438" w:rsidP="00772438">
      <w:pPr>
        <w:ind w:left="-567" w:firstLine="567"/>
        <w:jc w:val="both"/>
        <w:rPr>
          <w:rFonts w:ascii="Arial" w:eastAsia="Cambria" w:hAnsi="Arial" w:cs="Arial"/>
          <w:b/>
          <w:sz w:val="16"/>
          <w:szCs w:val="16"/>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DC05C5" w:rsidTr="00FF595A">
        <w:trPr>
          <w:trHeight w:val="183"/>
        </w:trPr>
        <w:tc>
          <w:tcPr>
            <w:tcW w:w="4361" w:type="dxa"/>
          </w:tcPr>
          <w:p w:rsidR="00DC05C5" w:rsidRDefault="00DC05C5" w:rsidP="00FF595A">
            <w:pPr>
              <w:jc w:val="both"/>
              <w:rPr>
                <w:rFonts w:ascii="Arial" w:eastAsia="Cambria" w:hAnsi="Arial" w:cs="Arial"/>
                <w:b/>
                <w:sz w:val="16"/>
                <w:szCs w:val="16"/>
                <w:lang w:val="es-ES_tradnl" w:eastAsia="en-US"/>
              </w:rPr>
            </w:pPr>
          </w:p>
        </w:tc>
        <w:tc>
          <w:tcPr>
            <w:tcW w:w="4361" w:type="dxa"/>
          </w:tcPr>
          <w:p w:rsidR="00DC05C5" w:rsidRDefault="00DC05C5" w:rsidP="00FF595A">
            <w:pPr>
              <w:jc w:val="both"/>
              <w:rPr>
                <w:rFonts w:ascii="Arial" w:eastAsia="Cambria" w:hAnsi="Arial" w:cs="Arial"/>
                <w:b/>
                <w:sz w:val="16"/>
                <w:szCs w:val="16"/>
                <w:lang w:val="es-ES_tradnl" w:eastAsia="en-US"/>
              </w:rPr>
            </w:pPr>
          </w:p>
        </w:tc>
        <w:tc>
          <w:tcPr>
            <w:tcW w:w="4361" w:type="dxa"/>
          </w:tcPr>
          <w:p w:rsidR="00DC05C5" w:rsidRDefault="00DC05C5" w:rsidP="00FF595A">
            <w:pPr>
              <w:jc w:val="both"/>
              <w:rPr>
                <w:rFonts w:ascii="Arial" w:eastAsia="Cambria" w:hAnsi="Arial" w:cs="Arial"/>
                <w:b/>
                <w:sz w:val="16"/>
                <w:szCs w:val="16"/>
                <w:lang w:val="es-ES_tradnl" w:eastAsia="en-US"/>
              </w:rPr>
            </w:pPr>
          </w:p>
        </w:tc>
        <w:tc>
          <w:tcPr>
            <w:tcW w:w="4361" w:type="dxa"/>
          </w:tcPr>
          <w:p w:rsidR="00DC05C5" w:rsidRDefault="00DC05C5" w:rsidP="00FF595A">
            <w:pPr>
              <w:jc w:val="both"/>
              <w:rPr>
                <w:rFonts w:ascii="Arial" w:eastAsia="Cambria" w:hAnsi="Arial" w:cs="Arial"/>
                <w:b/>
                <w:sz w:val="16"/>
                <w:szCs w:val="16"/>
                <w:lang w:val="es-ES_tradnl" w:eastAsia="en-US"/>
              </w:rPr>
            </w:pPr>
          </w:p>
        </w:tc>
        <w:tc>
          <w:tcPr>
            <w:tcW w:w="5103" w:type="dxa"/>
            <w:gridSpan w:val="2"/>
          </w:tcPr>
          <w:p w:rsidR="00DC05C5" w:rsidRDefault="00DC05C5" w:rsidP="00FF595A">
            <w:pPr>
              <w:jc w:val="both"/>
              <w:rPr>
                <w:rFonts w:ascii="Arial" w:eastAsia="Cambria" w:hAnsi="Arial" w:cs="Arial"/>
                <w:b/>
                <w:sz w:val="16"/>
                <w:szCs w:val="16"/>
                <w:lang w:val="es-ES_tradnl" w:eastAsia="en-US"/>
              </w:rPr>
            </w:pPr>
          </w:p>
        </w:tc>
      </w:tr>
      <w:tr w:rsidR="00DC05C5" w:rsidTr="00FF595A">
        <w:trPr>
          <w:gridAfter w:val="1"/>
          <w:wAfter w:w="4361" w:type="dxa"/>
          <w:trHeight w:val="183"/>
        </w:trPr>
        <w:tc>
          <w:tcPr>
            <w:tcW w:w="4361" w:type="dxa"/>
          </w:tcPr>
          <w:p w:rsidR="00DC05C5" w:rsidRDefault="00DC05C5"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DC05C5" w:rsidRDefault="00DC05C5"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DC05C5" w:rsidRDefault="00DC05C5"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DC05C5" w:rsidRDefault="00DC05C5"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DC05C5" w:rsidRDefault="00DC05C5"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DC05C5" w:rsidRDefault="00DC05C5"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DC05C5" w:rsidRDefault="00DC05C5"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DC05C5" w:rsidRDefault="00DC05C5"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DC05C5" w:rsidRDefault="00DC05C5" w:rsidP="00FF595A">
            <w:pPr>
              <w:ind w:left="-567" w:firstLine="567"/>
              <w:jc w:val="both"/>
              <w:rPr>
                <w:rFonts w:ascii="Arial" w:eastAsia="Cambria" w:hAnsi="Arial" w:cs="Arial"/>
                <w:b/>
                <w:sz w:val="16"/>
                <w:szCs w:val="16"/>
                <w:lang w:val="es-ES_tradnl" w:eastAsia="en-US"/>
              </w:rPr>
            </w:pPr>
            <w:bookmarkStart w:id="0" w:name="_GoBack"/>
            <w:proofErr w:type="spellStart"/>
            <w:r>
              <w:rPr>
                <w:rFonts w:ascii="Arial" w:eastAsia="Cambria" w:hAnsi="Arial" w:cs="Arial"/>
                <w:b/>
                <w:sz w:val="16"/>
                <w:szCs w:val="16"/>
                <w:lang w:val="es-ES_tradnl" w:eastAsia="en-US"/>
              </w:rPr>
              <w:t>OPI</w:t>
            </w:r>
            <w:bookmarkEnd w:id="0"/>
            <w:proofErr w:type="spellEnd"/>
          </w:p>
        </w:tc>
        <w:tc>
          <w:tcPr>
            <w:tcW w:w="4361" w:type="dxa"/>
          </w:tcPr>
          <w:p w:rsidR="00DC05C5" w:rsidRDefault="00DC05C5" w:rsidP="00FF59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DC05C5" w:rsidRDefault="00DC05C5" w:rsidP="00FF59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DC05C5" w:rsidRDefault="00DC05C5" w:rsidP="00FF59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DC05C5" w:rsidRDefault="00DC05C5" w:rsidP="00FF59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DC05C5" w:rsidRDefault="00DC05C5" w:rsidP="00FF595A">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DC05C5" w:rsidRDefault="00DC05C5" w:rsidP="00FF595A">
            <w:pPr>
              <w:jc w:val="both"/>
              <w:rPr>
                <w:rFonts w:ascii="Arial" w:eastAsia="Cambria" w:hAnsi="Arial" w:cs="Arial"/>
                <w:b/>
                <w:sz w:val="16"/>
                <w:szCs w:val="16"/>
                <w:lang w:val="es-ES_tradnl" w:eastAsia="en-US"/>
              </w:rPr>
            </w:pPr>
          </w:p>
          <w:p w:rsidR="00DC05C5" w:rsidRDefault="00DC05C5" w:rsidP="00FF595A">
            <w:pPr>
              <w:rPr>
                <w:rFonts w:ascii="Arial" w:eastAsia="Cambria" w:hAnsi="Arial" w:cs="Arial"/>
                <w:b/>
                <w:sz w:val="16"/>
                <w:szCs w:val="16"/>
                <w:lang w:val="es-CR" w:eastAsia="en-US"/>
              </w:rPr>
            </w:pPr>
          </w:p>
        </w:tc>
        <w:tc>
          <w:tcPr>
            <w:tcW w:w="4361" w:type="dxa"/>
          </w:tcPr>
          <w:p w:rsidR="00DC05C5" w:rsidRDefault="00DC05C5" w:rsidP="00FF595A">
            <w:pPr>
              <w:jc w:val="both"/>
              <w:rPr>
                <w:rFonts w:ascii="Arial" w:eastAsia="Cambria" w:hAnsi="Arial" w:cs="Arial"/>
                <w:b/>
                <w:sz w:val="16"/>
                <w:szCs w:val="16"/>
                <w:lang w:val="es-ES_tradnl" w:eastAsia="en-US"/>
              </w:rPr>
            </w:pPr>
          </w:p>
        </w:tc>
        <w:tc>
          <w:tcPr>
            <w:tcW w:w="5103" w:type="dxa"/>
            <w:gridSpan w:val="2"/>
          </w:tcPr>
          <w:p w:rsidR="00DC05C5" w:rsidRDefault="00DC05C5" w:rsidP="00FF595A">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06" w:rsidRDefault="00ED0606">
      <w:r>
        <w:separator/>
      </w:r>
    </w:p>
  </w:endnote>
  <w:endnote w:type="continuationSeparator" w:id="0">
    <w:p w:rsidR="00ED0606" w:rsidRDefault="00ED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06" w:rsidRDefault="00ED0606">
      <w:r>
        <w:separator/>
      </w:r>
    </w:p>
  </w:footnote>
  <w:footnote w:type="continuationSeparator" w:id="0">
    <w:p w:rsidR="00ED0606" w:rsidRDefault="00ED0606">
      <w:r>
        <w:continuationSeparator/>
      </w:r>
    </w:p>
  </w:footnote>
  <w:footnote w:id="1">
    <w:p w:rsidR="00997BFD" w:rsidRPr="005F7D9B" w:rsidRDefault="00997BFD" w:rsidP="00997BFD">
      <w:pPr>
        <w:pStyle w:val="Textonotapie"/>
        <w:rPr>
          <w:rFonts w:cs="Arial"/>
          <w:i/>
          <w:sz w:val="16"/>
          <w:szCs w:val="16"/>
        </w:rPr>
      </w:pPr>
      <w:r w:rsidRPr="005F7D9B">
        <w:rPr>
          <w:rStyle w:val="Refdenotaalpie"/>
          <w:sz w:val="14"/>
          <w:szCs w:val="14"/>
        </w:rPr>
        <w:footnoteRef/>
      </w:r>
      <w:r w:rsidRPr="005F7D9B">
        <w:rPr>
          <w:rStyle w:val="Refdenotaalpie"/>
          <w:sz w:val="14"/>
          <w:szCs w:val="14"/>
        </w:rPr>
        <w:t xml:space="preserve"> </w:t>
      </w:r>
      <w:r w:rsidRPr="00935147">
        <w:rPr>
          <w:rFonts w:cs="Arial"/>
          <w:sz w:val="22"/>
          <w:szCs w:val="22"/>
        </w:rPr>
        <w:t xml:space="preserve"> </w:t>
      </w:r>
      <w:r w:rsidRPr="005F7D9B">
        <w:rPr>
          <w:rFonts w:cs="Arial"/>
          <w:i/>
          <w:sz w:val="16"/>
          <w:szCs w:val="16"/>
        </w:rPr>
        <w:t>1.3 Responsabilidades por la dotación de recursos a la Auditoría Interna</w:t>
      </w:r>
      <w:r>
        <w:rPr>
          <w:rFonts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32AAB">
      <w:rPr>
        <w:rFonts w:ascii="Arial" w:eastAsia="Cambria" w:hAnsi="Arial" w:cs="Arial"/>
        <w:i/>
        <w:sz w:val="18"/>
        <w:szCs w:val="18"/>
        <w:lang w:val="es-ES_tradnl" w:eastAsia="x-none"/>
      </w:rPr>
      <w:t>3</w:t>
    </w:r>
    <w:r w:rsidR="00997BFD">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A20EA7">
      <w:rPr>
        <w:rFonts w:ascii="Arial" w:eastAsia="Cambria" w:hAnsi="Arial" w:cs="Arial"/>
        <w:i/>
        <w:sz w:val="18"/>
        <w:szCs w:val="18"/>
        <w:lang w:val="es-ES_tradnl" w:eastAsia="x-none"/>
      </w:rPr>
      <w:t>10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97BFD">
      <w:rPr>
        <w:rFonts w:ascii="Arial" w:eastAsia="Cambria" w:hAnsi="Arial" w:cs="Arial"/>
        <w:i/>
        <w:sz w:val="18"/>
        <w:szCs w:val="18"/>
        <w:lang w:val="es-ES_tradnl" w:eastAsia="x-none"/>
      </w:rPr>
      <w:t>03</w:t>
    </w:r>
    <w:r w:rsidR="006442DF">
      <w:rPr>
        <w:rFonts w:ascii="Arial" w:eastAsia="Cambria" w:hAnsi="Arial" w:cs="Arial"/>
        <w:i/>
        <w:sz w:val="18"/>
        <w:szCs w:val="18"/>
        <w:lang w:val="es-ES_tradnl" w:eastAsia="x-none"/>
      </w:rPr>
      <w:t xml:space="preserve"> de </w:t>
    </w:r>
    <w:r w:rsidR="00997BFD">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C05C5">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4392D"/>
    <w:multiLevelType w:val="hybridMultilevel"/>
    <w:tmpl w:val="B90EE708"/>
    <w:lvl w:ilvl="0" w:tplc="03EE3954">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2B534BF"/>
    <w:multiLevelType w:val="hybridMultilevel"/>
    <w:tmpl w:val="CA187D80"/>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0353D7"/>
    <w:multiLevelType w:val="hybridMultilevel"/>
    <w:tmpl w:val="2026D462"/>
    <w:lvl w:ilvl="0" w:tplc="7236E97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BE7ED4"/>
    <w:multiLevelType w:val="hybridMultilevel"/>
    <w:tmpl w:val="172A20AE"/>
    <w:lvl w:ilvl="0" w:tplc="0F8CB14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0E68AB"/>
    <w:multiLevelType w:val="hybridMultilevel"/>
    <w:tmpl w:val="609475DE"/>
    <w:lvl w:ilvl="0" w:tplc="19669E72">
      <w:start w:val="1"/>
      <w:numFmt w:val="lowerLetter"/>
      <w:lvlText w:val="%1."/>
      <w:lvlJc w:val="left"/>
      <w:pPr>
        <w:tabs>
          <w:tab w:val="num" w:pos="1080"/>
        </w:tabs>
        <w:ind w:left="108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3B53C64"/>
    <w:multiLevelType w:val="multilevel"/>
    <w:tmpl w:val="1BECB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9951499"/>
    <w:multiLevelType w:val="hybridMultilevel"/>
    <w:tmpl w:val="7C728520"/>
    <w:lvl w:ilvl="0" w:tplc="B1E2DCD4">
      <w:start w:val="1"/>
      <w:numFmt w:val="decimal"/>
      <w:lvlText w:val="%1."/>
      <w:lvlJc w:val="left"/>
      <w:pPr>
        <w:tabs>
          <w:tab w:val="num" w:pos="720"/>
        </w:tabs>
        <w:ind w:left="720" w:hanging="360"/>
      </w:pPr>
      <w:rPr>
        <w:rFonts w:ascii="Arial" w:hAnsi="Arial" w:cs="Arial" w:hint="default"/>
        <w:b/>
        <w:i w:val="0"/>
        <w:color w:val="000000"/>
        <w:sz w:val="24"/>
        <w:szCs w:val="24"/>
      </w:rPr>
    </w:lvl>
    <w:lvl w:ilvl="1" w:tplc="78B06F26">
      <w:start w:val="18"/>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79C383E"/>
    <w:multiLevelType w:val="multilevel"/>
    <w:tmpl w:val="DC4A9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2"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23"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5606" w:hanging="360"/>
      </w:pPr>
      <w:rPr>
        <w:b/>
        <w:strike w:val="0"/>
        <w:sz w:val="24"/>
        <w:szCs w:val="24"/>
      </w:rPr>
    </w:lvl>
    <w:lvl w:ilvl="1" w:tplc="140A0019">
      <w:start w:val="1"/>
      <w:numFmt w:val="lowerLetter"/>
      <w:lvlText w:val="%2."/>
      <w:lvlJc w:val="left"/>
      <w:pPr>
        <w:ind w:left="6326" w:hanging="360"/>
      </w:pPr>
    </w:lvl>
    <w:lvl w:ilvl="2" w:tplc="140A001B" w:tentative="1">
      <w:start w:val="1"/>
      <w:numFmt w:val="lowerRoman"/>
      <w:lvlText w:val="%3."/>
      <w:lvlJc w:val="right"/>
      <w:pPr>
        <w:ind w:left="7046" w:hanging="180"/>
      </w:pPr>
    </w:lvl>
    <w:lvl w:ilvl="3" w:tplc="140A000F" w:tentative="1">
      <w:start w:val="1"/>
      <w:numFmt w:val="decimal"/>
      <w:lvlText w:val="%4."/>
      <w:lvlJc w:val="left"/>
      <w:pPr>
        <w:ind w:left="7766" w:hanging="360"/>
      </w:pPr>
    </w:lvl>
    <w:lvl w:ilvl="4" w:tplc="140A0019" w:tentative="1">
      <w:start w:val="1"/>
      <w:numFmt w:val="lowerLetter"/>
      <w:lvlText w:val="%5."/>
      <w:lvlJc w:val="left"/>
      <w:pPr>
        <w:ind w:left="8486" w:hanging="360"/>
      </w:pPr>
    </w:lvl>
    <w:lvl w:ilvl="5" w:tplc="140A001B" w:tentative="1">
      <w:start w:val="1"/>
      <w:numFmt w:val="lowerRoman"/>
      <w:lvlText w:val="%6."/>
      <w:lvlJc w:val="right"/>
      <w:pPr>
        <w:ind w:left="9206" w:hanging="180"/>
      </w:pPr>
    </w:lvl>
    <w:lvl w:ilvl="6" w:tplc="140A000F" w:tentative="1">
      <w:start w:val="1"/>
      <w:numFmt w:val="decimal"/>
      <w:lvlText w:val="%7."/>
      <w:lvlJc w:val="left"/>
      <w:pPr>
        <w:ind w:left="9926" w:hanging="360"/>
      </w:pPr>
    </w:lvl>
    <w:lvl w:ilvl="7" w:tplc="140A0019" w:tentative="1">
      <w:start w:val="1"/>
      <w:numFmt w:val="lowerLetter"/>
      <w:lvlText w:val="%8."/>
      <w:lvlJc w:val="left"/>
      <w:pPr>
        <w:ind w:left="10646" w:hanging="360"/>
      </w:pPr>
    </w:lvl>
    <w:lvl w:ilvl="8" w:tplc="140A001B" w:tentative="1">
      <w:start w:val="1"/>
      <w:numFmt w:val="lowerRoman"/>
      <w:lvlText w:val="%9."/>
      <w:lvlJc w:val="right"/>
      <w:pPr>
        <w:ind w:left="11366" w:hanging="180"/>
      </w:pPr>
    </w:lvl>
  </w:abstractNum>
  <w:abstractNum w:abstractNumId="25"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702F1053"/>
    <w:multiLevelType w:val="multilevel"/>
    <w:tmpl w:val="F4002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29" w15:restartNumberingAfterBreak="0">
    <w:nsid w:val="751D28A6"/>
    <w:multiLevelType w:val="hybridMultilevel"/>
    <w:tmpl w:val="79E0F2AE"/>
    <w:lvl w:ilvl="0" w:tplc="6A329154">
      <w:start w:val="1"/>
      <w:numFmt w:val="lowerLetter"/>
      <w:lvlText w:val="%1."/>
      <w:lvlJc w:val="left"/>
      <w:pPr>
        <w:tabs>
          <w:tab w:val="num" w:pos="360"/>
        </w:tabs>
        <w:ind w:left="360" w:hanging="360"/>
      </w:pPr>
      <w:rPr>
        <w:rFonts w:ascii="Arial" w:hAnsi="Arial" w:hint="default"/>
        <w:b/>
        <w:i w:val="0"/>
        <w:sz w:val="24"/>
        <w:szCs w:val="24"/>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11"/>
  </w:num>
  <w:num w:numId="4">
    <w:abstractNumId w:val="21"/>
  </w:num>
  <w:num w:numId="5">
    <w:abstractNumId w:val="24"/>
  </w:num>
  <w:num w:numId="6">
    <w:abstractNumId w:val="19"/>
  </w:num>
  <w:num w:numId="7">
    <w:abstractNumId w:val="1"/>
  </w:num>
  <w:num w:numId="8">
    <w:abstractNumId w:val="5"/>
  </w:num>
  <w:num w:numId="9">
    <w:abstractNumId w:val="30"/>
  </w:num>
  <w:num w:numId="10">
    <w:abstractNumId w:val="23"/>
  </w:num>
  <w:num w:numId="11">
    <w:abstractNumId w:val="27"/>
  </w:num>
  <w:num w:numId="12">
    <w:abstractNumId w:val="28"/>
  </w:num>
  <w:num w:numId="13">
    <w:abstractNumId w:val="22"/>
  </w:num>
  <w:num w:numId="14">
    <w:abstractNumId w:val="25"/>
  </w:num>
  <w:num w:numId="15">
    <w:abstractNumId w:val="12"/>
  </w:num>
  <w:num w:numId="16">
    <w:abstractNumId w:val="3"/>
  </w:num>
  <w:num w:numId="17">
    <w:abstractNumId w:val="15"/>
  </w:num>
  <w:num w:numId="18">
    <w:abstractNumId w:val="14"/>
  </w:num>
  <w:num w:numId="19">
    <w:abstractNumId w:val="13"/>
  </w:num>
  <w:num w:numId="20">
    <w:abstractNumId w:val="9"/>
  </w:num>
  <w:num w:numId="21">
    <w:abstractNumId w:val="4"/>
  </w:num>
  <w:num w:numId="22">
    <w:abstractNumId w:val="18"/>
  </w:num>
  <w:num w:numId="23">
    <w:abstractNumId w:val="29"/>
  </w:num>
  <w:num w:numId="24">
    <w:abstractNumId w:val="26"/>
  </w:num>
  <w:num w:numId="25">
    <w:abstractNumId w:val="20"/>
  </w:num>
  <w:num w:numId="26">
    <w:abstractNumId w:val="17"/>
  </w:num>
  <w:num w:numId="27">
    <w:abstractNumId w:val="8"/>
  </w:num>
  <w:num w:numId="28">
    <w:abstractNumId w:val="7"/>
  </w:num>
  <w:num w:numId="29">
    <w:abstractNumId w:val="6"/>
  </w:num>
  <w:num w:numId="30">
    <w:abstractNumId w:val="16"/>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2459"/>
    <w:rsid w:val="001644B1"/>
    <w:rsid w:val="00165556"/>
    <w:rsid w:val="00165902"/>
    <w:rsid w:val="00165B51"/>
    <w:rsid w:val="00165C83"/>
    <w:rsid w:val="00165F34"/>
    <w:rsid w:val="00166375"/>
    <w:rsid w:val="00171AC3"/>
    <w:rsid w:val="001746E5"/>
    <w:rsid w:val="0018030A"/>
    <w:rsid w:val="001806C4"/>
    <w:rsid w:val="00182124"/>
    <w:rsid w:val="00184CD7"/>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5E89"/>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05F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D4642"/>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777AF"/>
    <w:rsid w:val="00680EA9"/>
    <w:rsid w:val="0068346A"/>
    <w:rsid w:val="006842AD"/>
    <w:rsid w:val="006851C8"/>
    <w:rsid w:val="0068595E"/>
    <w:rsid w:val="006862AA"/>
    <w:rsid w:val="006871B3"/>
    <w:rsid w:val="00691130"/>
    <w:rsid w:val="006938F4"/>
    <w:rsid w:val="006976E0"/>
    <w:rsid w:val="006A0355"/>
    <w:rsid w:val="006A0409"/>
    <w:rsid w:val="006A0667"/>
    <w:rsid w:val="006A2A49"/>
    <w:rsid w:val="006A2B9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2AAB"/>
    <w:rsid w:val="00733178"/>
    <w:rsid w:val="00734993"/>
    <w:rsid w:val="007369BA"/>
    <w:rsid w:val="00740752"/>
    <w:rsid w:val="0074284B"/>
    <w:rsid w:val="00744C74"/>
    <w:rsid w:val="0075179A"/>
    <w:rsid w:val="00751AB1"/>
    <w:rsid w:val="007553D4"/>
    <w:rsid w:val="00760AD1"/>
    <w:rsid w:val="00761133"/>
    <w:rsid w:val="007619FB"/>
    <w:rsid w:val="00763AF2"/>
    <w:rsid w:val="00772438"/>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859A4"/>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41FEE"/>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BFD"/>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4238"/>
    <w:rsid w:val="00A1609F"/>
    <w:rsid w:val="00A20EA7"/>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97FD5"/>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45A8"/>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2D5F"/>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A7F9E"/>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34C"/>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A7DB4"/>
    <w:rsid w:val="00DB11AA"/>
    <w:rsid w:val="00DB4191"/>
    <w:rsid w:val="00DC05C5"/>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606"/>
    <w:rsid w:val="00ED0DA7"/>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uiPriority w:val="99"/>
    <w:rsid w:val="00997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0C38-3B05-4D73-BFDD-950DF4D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2560</Words>
  <Characters>14081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119</cp:revision>
  <cp:lastPrinted>2017-06-29T14:16:00Z</cp:lastPrinted>
  <dcterms:created xsi:type="dcterms:W3CDTF">2016-10-05T20:00:00Z</dcterms:created>
  <dcterms:modified xsi:type="dcterms:W3CDTF">2017-08-03T17:56:00Z</dcterms:modified>
</cp:coreProperties>
</file>