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C2C78">
        <w:rPr>
          <w:rFonts w:ascii="Arial" w:hAnsi="Arial" w:cs="Arial"/>
          <w:b/>
          <w:bCs/>
          <w:iCs/>
          <w:sz w:val="26"/>
          <w:szCs w:val="22"/>
          <w:lang w:val="es-CR"/>
        </w:rPr>
        <w:t>325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8118A7" w:rsidRDefault="008118A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p>
          <w:p w:rsidR="008118A7" w:rsidRDefault="008118A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Oficina Planificación Institucional</w:t>
            </w:r>
          </w:p>
          <w:p w:rsidR="008118A7" w:rsidRDefault="008118A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Auditor Interno</w:t>
            </w:r>
          </w:p>
          <w:p w:rsidR="001F3E92" w:rsidRDefault="006C2C78" w:rsidP="001A33C3">
            <w:pPr>
              <w:jc w:val="both"/>
              <w:rPr>
                <w:rFonts w:ascii="Arial" w:hAnsi="Arial" w:cs="Arial"/>
                <w:sz w:val="22"/>
                <w:szCs w:val="22"/>
              </w:rPr>
            </w:pPr>
            <w:r w:rsidRPr="006C2C78">
              <w:rPr>
                <w:rFonts w:ascii="Arial" w:hAnsi="Arial" w:cs="Arial"/>
                <w:sz w:val="22"/>
                <w:szCs w:val="22"/>
              </w:rPr>
              <w:t>Máster Diego Camacho, Coordinador del Programa de Regionalización</w:t>
            </w:r>
          </w:p>
          <w:p w:rsidR="00AE72C5" w:rsidRPr="006C2C78" w:rsidRDefault="00AE72C5" w:rsidP="001A33C3">
            <w:pPr>
              <w:jc w:val="both"/>
              <w:rPr>
                <w:rFonts w:ascii="Arial" w:hAnsi="Arial" w:cs="Arial"/>
                <w:sz w:val="22"/>
                <w:szCs w:val="22"/>
              </w:rPr>
            </w:pPr>
            <w:r>
              <w:rPr>
                <w:rFonts w:ascii="Arial" w:hAnsi="Arial" w:cs="Arial"/>
                <w:sz w:val="22"/>
                <w:szCs w:val="22"/>
              </w:rPr>
              <w:t>MBA. Harold Blanco, Director Departamento de Recursos Humanos</w:t>
            </w:r>
          </w:p>
          <w:p w:rsidR="006C2C78" w:rsidRPr="006B4FBB" w:rsidRDefault="006C2C78" w:rsidP="001A33C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Bertalía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5E6C51" w:rsidP="00CC363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118A7" w:rsidRPr="00BB27DC" w:rsidRDefault="007742A1" w:rsidP="008118A7">
            <w:pPr>
              <w:ind w:right="-1"/>
              <w:jc w:val="both"/>
              <w:rPr>
                <w:rFonts w:ascii="Arial" w:eastAsia="MS Mincho"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5E6C51">
              <w:rPr>
                <w:rFonts w:ascii="Arial" w:eastAsia="Calibri" w:hAnsi="Arial" w:cs="Arial"/>
                <w:b/>
                <w:sz w:val="22"/>
                <w:szCs w:val="22"/>
              </w:rPr>
              <w:t>4</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5832B2">
              <w:rPr>
                <w:rFonts w:ascii="Arial" w:eastAsia="Calibri" w:hAnsi="Arial" w:cs="Arial"/>
                <w:b/>
                <w:sz w:val="22"/>
                <w:szCs w:val="22"/>
              </w:rPr>
              <w:t>3</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5E6C51">
              <w:rPr>
                <w:rFonts w:ascii="Arial" w:eastAsia="Calibri" w:hAnsi="Arial" w:cs="Arial"/>
                <w:b/>
                <w:sz w:val="22"/>
                <w:szCs w:val="22"/>
              </w:rPr>
              <w:t>31</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8118A7">
              <w:rPr>
                <w:rFonts w:ascii="Arial" w:eastAsia="MS Mincho" w:hAnsi="Arial" w:cs="Arial"/>
                <w:b/>
                <w:sz w:val="22"/>
                <w:szCs w:val="22"/>
              </w:rPr>
              <w:t>Modificación de las condiciones de las p</w:t>
            </w:r>
            <w:r w:rsidR="008118A7" w:rsidRPr="00BB27DC">
              <w:rPr>
                <w:rFonts w:ascii="Arial" w:eastAsia="MS Mincho" w:hAnsi="Arial" w:cs="Arial"/>
                <w:b/>
                <w:sz w:val="22"/>
                <w:szCs w:val="22"/>
              </w:rPr>
              <w:t>lazas</w:t>
            </w:r>
            <w:r w:rsidR="008118A7" w:rsidRPr="005C4955">
              <w:rPr>
                <w:rFonts w:ascii="Arial" w:eastAsia="MS Mincho" w:hAnsi="Arial" w:cs="Arial"/>
                <w:b/>
                <w:sz w:val="22"/>
                <w:szCs w:val="22"/>
              </w:rPr>
              <w:t xml:space="preserve"> FS0016, FS0055, FS0081 y FS0111</w:t>
            </w:r>
            <w:r w:rsidR="008118A7" w:rsidRPr="00BB27DC">
              <w:rPr>
                <w:rFonts w:ascii="Arial" w:eastAsia="MS Mincho" w:hAnsi="Arial" w:cs="Arial"/>
                <w:b/>
                <w:sz w:val="22"/>
                <w:szCs w:val="22"/>
              </w:rPr>
              <w:t xml:space="preserve">, adscritas a la </w:t>
            </w:r>
            <w:r w:rsidR="008118A7">
              <w:rPr>
                <w:rFonts w:ascii="Arial" w:eastAsia="MS Mincho" w:hAnsi="Arial" w:cs="Arial"/>
                <w:b/>
                <w:sz w:val="22"/>
                <w:szCs w:val="22"/>
              </w:rPr>
              <w:t>Vicerrectoría de Investigación</w:t>
            </w:r>
            <w:r w:rsidR="008118A7" w:rsidRPr="00BB27DC">
              <w:rPr>
                <w:rFonts w:ascii="Arial" w:eastAsia="MS Mincho" w:hAnsi="Arial" w:cs="Arial"/>
                <w:b/>
                <w:sz w:val="22"/>
                <w:szCs w:val="22"/>
              </w:rPr>
              <w:t xml:space="preserve">, (acuerdo Sesión Ordinaria No. </w:t>
            </w:r>
            <w:r w:rsidR="008118A7" w:rsidRPr="005C4955">
              <w:rPr>
                <w:rFonts w:ascii="Arial" w:eastAsia="MS Mincho" w:hAnsi="Arial" w:cs="Arial"/>
                <w:b/>
                <w:sz w:val="22"/>
                <w:szCs w:val="22"/>
              </w:rPr>
              <w:t xml:space="preserve">2992, Artículo 8, del 05 de octubre de 2016, </w:t>
            </w:r>
            <w:r w:rsidR="008118A7" w:rsidRPr="00D958BC">
              <w:rPr>
                <w:rFonts w:ascii="Arial" w:eastAsia="Calibri" w:hAnsi="Arial" w:cs="Arial"/>
                <w:b/>
                <w:sz w:val="22"/>
                <w:szCs w:val="22"/>
              </w:rPr>
              <w:t>Plazas Nuevas, Renovación y Reconversión, financiadas con Fondos del Sistema 2017</w:t>
            </w:r>
            <w:r w:rsidR="008118A7">
              <w:rPr>
                <w:rFonts w:ascii="Arial" w:eastAsia="MS Mincho" w:hAnsi="Arial" w:cs="Arial"/>
                <w:b/>
                <w:sz w:val="22"/>
                <w:szCs w:val="22"/>
              </w:rPr>
              <w:t>)</w:t>
            </w:r>
          </w:p>
          <w:p w:rsidR="005E6C51" w:rsidRPr="008118A7" w:rsidRDefault="005E6C51" w:rsidP="008118A7">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118A7" w:rsidRDefault="008118A7" w:rsidP="007742A1">
      <w:pPr>
        <w:jc w:val="both"/>
        <w:rPr>
          <w:rFonts w:ascii="Arial" w:eastAsia="Cambria" w:hAnsi="Arial" w:cs="Arial"/>
          <w:lang w:val="es-ES_tradnl" w:eastAsia="en-US"/>
        </w:rPr>
      </w:pPr>
    </w:p>
    <w:p w:rsidR="008118A7" w:rsidRDefault="008118A7" w:rsidP="008118A7">
      <w:pPr>
        <w:jc w:val="both"/>
        <w:rPr>
          <w:rFonts w:ascii="Arial" w:eastAsia="Calibri" w:hAnsi="Arial" w:cs="Arial"/>
          <w:b/>
        </w:rPr>
      </w:pPr>
      <w:r>
        <w:rPr>
          <w:rFonts w:ascii="Arial" w:eastAsia="Calibri" w:hAnsi="Arial" w:cs="Arial"/>
          <w:b/>
        </w:rPr>
        <w:t>RESULTANDO</w:t>
      </w:r>
      <w:r w:rsidRPr="00DF7273">
        <w:rPr>
          <w:rFonts w:ascii="Arial" w:eastAsia="Calibri" w:hAnsi="Arial" w:cs="Arial"/>
          <w:b/>
        </w:rPr>
        <w:t xml:space="preserve"> QUE:</w:t>
      </w:r>
    </w:p>
    <w:p w:rsidR="008118A7" w:rsidRPr="005C0C74" w:rsidRDefault="008118A7" w:rsidP="008118A7">
      <w:pPr>
        <w:rPr>
          <w:rFonts w:ascii="Arial" w:hAnsi="Arial" w:cs="Arial"/>
        </w:rPr>
      </w:pPr>
    </w:p>
    <w:p w:rsidR="008118A7" w:rsidRPr="00FA4F20" w:rsidRDefault="008118A7" w:rsidP="00770CE2">
      <w:pPr>
        <w:numPr>
          <w:ilvl w:val="0"/>
          <w:numId w:val="4"/>
        </w:numPr>
        <w:ind w:left="284"/>
        <w:jc w:val="both"/>
        <w:outlineLvl w:val="0"/>
        <w:rPr>
          <w:rFonts w:ascii="Arial" w:hAnsi="Arial" w:cs="Arial"/>
        </w:rPr>
      </w:pPr>
      <w:r w:rsidRPr="00FA4F20">
        <w:rPr>
          <w:rFonts w:ascii="Arial" w:hAnsi="Arial" w:cs="Arial"/>
        </w:rPr>
        <w:t xml:space="preserve">El Artículo </w:t>
      </w:r>
      <w:r>
        <w:rPr>
          <w:rFonts w:ascii="Arial" w:hAnsi="Arial" w:cs="Arial"/>
        </w:rPr>
        <w:t>21</w:t>
      </w:r>
      <w:r w:rsidRPr="00FA4F20">
        <w:rPr>
          <w:rFonts w:ascii="Arial" w:hAnsi="Arial" w:cs="Arial"/>
        </w:rPr>
        <w:t xml:space="preserve">, del </w:t>
      </w:r>
      <w:r>
        <w:rPr>
          <w:rFonts w:ascii="Arial" w:hAnsi="Arial" w:cs="Arial"/>
        </w:rPr>
        <w:t>Reglamento del Consejo Institucional</w:t>
      </w:r>
      <w:r w:rsidRPr="00FA4F20">
        <w:rPr>
          <w:rFonts w:ascii="Arial" w:hAnsi="Arial" w:cs="Arial"/>
        </w:rPr>
        <w:t xml:space="preserve">, </w:t>
      </w:r>
      <w:r>
        <w:rPr>
          <w:rFonts w:ascii="Arial" w:hAnsi="Arial" w:cs="Arial"/>
        </w:rPr>
        <w:t>reza</w:t>
      </w:r>
      <w:r w:rsidRPr="00FA4F20">
        <w:rPr>
          <w:rFonts w:ascii="Arial" w:hAnsi="Arial" w:cs="Arial"/>
        </w:rPr>
        <w:t>:</w:t>
      </w:r>
    </w:p>
    <w:p w:rsidR="008118A7" w:rsidRPr="005C0C74" w:rsidRDefault="008118A7" w:rsidP="008118A7">
      <w:pPr>
        <w:jc w:val="both"/>
        <w:rPr>
          <w:rFonts w:ascii="Arial" w:eastAsia="Calibri" w:hAnsi="Arial" w:cs="Arial"/>
          <w:b/>
        </w:rPr>
      </w:pPr>
    </w:p>
    <w:p w:rsidR="008118A7" w:rsidRDefault="008118A7" w:rsidP="008118A7">
      <w:pPr>
        <w:ind w:left="720" w:right="417"/>
        <w:jc w:val="both"/>
        <w:rPr>
          <w:rFonts w:ascii="Arial" w:hAnsi="Arial" w:cs="Arial"/>
          <w:i/>
          <w:sz w:val="21"/>
          <w:szCs w:val="21"/>
          <w:lang w:eastAsia="es-CR"/>
        </w:rPr>
      </w:pPr>
      <w:r>
        <w:rPr>
          <w:rFonts w:ascii="Arial" w:hAnsi="Arial" w:cs="Arial"/>
          <w:i/>
          <w:sz w:val="21"/>
          <w:szCs w:val="21"/>
          <w:lang w:eastAsia="es-CR"/>
        </w:rPr>
        <w:t>“</w:t>
      </w:r>
      <w:r w:rsidRPr="00BD695A">
        <w:rPr>
          <w:rFonts w:ascii="Arial" w:hAnsi="Arial" w:cs="Arial"/>
          <w:i/>
          <w:sz w:val="21"/>
          <w:szCs w:val="21"/>
          <w:lang w:eastAsia="es-CR"/>
        </w:rPr>
        <w:t>Son asuntos propios del análisis y dictamen de la Comisión de Planificación y Administración según su competencia los siguientes:</w:t>
      </w:r>
      <w:r w:rsidRPr="00622D46">
        <w:rPr>
          <w:rFonts w:ascii="Arial" w:hAnsi="Arial" w:cs="Arial"/>
          <w:i/>
          <w:sz w:val="21"/>
          <w:szCs w:val="21"/>
          <w:lang w:eastAsia="es-CR"/>
        </w:rPr>
        <w:t xml:space="preserve"> </w:t>
      </w:r>
    </w:p>
    <w:p w:rsidR="008118A7" w:rsidRPr="00F23CBC" w:rsidRDefault="008118A7" w:rsidP="008118A7">
      <w:pPr>
        <w:rPr>
          <w:rFonts w:ascii="Arial" w:hAnsi="Arial" w:cs="Arial"/>
          <w:sz w:val="16"/>
          <w:szCs w:val="16"/>
        </w:rPr>
      </w:pPr>
    </w:p>
    <w:p w:rsidR="008118A7" w:rsidRDefault="008118A7" w:rsidP="008118A7">
      <w:pPr>
        <w:ind w:left="720" w:right="417"/>
        <w:jc w:val="both"/>
        <w:rPr>
          <w:rFonts w:ascii="Arial" w:hAnsi="Arial" w:cs="Arial"/>
          <w:i/>
          <w:sz w:val="21"/>
          <w:szCs w:val="21"/>
          <w:lang w:eastAsia="es-CR"/>
        </w:rPr>
      </w:pPr>
      <w:r w:rsidRPr="00622D46">
        <w:rPr>
          <w:rFonts w:ascii="Arial" w:hAnsi="Arial" w:cs="Arial"/>
          <w:i/>
          <w:sz w:val="21"/>
          <w:szCs w:val="21"/>
          <w:lang w:eastAsia="es-CR"/>
        </w:rPr>
        <w:t xml:space="preserve">… </w:t>
      </w:r>
    </w:p>
    <w:p w:rsidR="008118A7" w:rsidRPr="00F23CBC" w:rsidRDefault="008118A7" w:rsidP="008118A7">
      <w:pPr>
        <w:jc w:val="both"/>
        <w:rPr>
          <w:rFonts w:ascii="Arial" w:eastAsia="Calibri" w:hAnsi="Arial" w:cs="Arial"/>
          <w:b/>
          <w:sz w:val="16"/>
          <w:szCs w:val="16"/>
        </w:rPr>
      </w:pPr>
    </w:p>
    <w:p w:rsidR="008118A7" w:rsidRPr="00622D46" w:rsidRDefault="008118A7" w:rsidP="008118A7">
      <w:pPr>
        <w:ind w:left="1022" w:right="417" w:hanging="302"/>
        <w:jc w:val="both"/>
        <w:rPr>
          <w:rFonts w:ascii="Arial" w:hAnsi="Arial" w:cs="Arial"/>
          <w:i/>
          <w:sz w:val="21"/>
          <w:szCs w:val="21"/>
          <w:lang w:eastAsia="es-CR"/>
        </w:rPr>
      </w:pPr>
      <w:r>
        <w:rPr>
          <w:rFonts w:ascii="Arial" w:hAnsi="Arial" w:cs="Arial"/>
          <w:i/>
          <w:sz w:val="21"/>
          <w:szCs w:val="21"/>
          <w:lang w:eastAsia="es-CR"/>
        </w:rPr>
        <w:t>c</w:t>
      </w:r>
      <w:r w:rsidRPr="00622D46">
        <w:rPr>
          <w:rFonts w:ascii="Arial" w:hAnsi="Arial" w:cs="Arial"/>
          <w:i/>
          <w:sz w:val="21"/>
          <w:szCs w:val="21"/>
          <w:lang w:eastAsia="es-CR"/>
        </w:rPr>
        <w:t xml:space="preserve">. </w:t>
      </w:r>
      <w:r w:rsidRPr="00BD695A">
        <w:rPr>
          <w:rFonts w:ascii="Arial" w:hAnsi="Arial" w:cs="Arial"/>
          <w:i/>
          <w:sz w:val="21"/>
          <w:szCs w:val="21"/>
          <w:lang w:eastAsia="es-CR"/>
        </w:rPr>
        <w:t>La creación, modificación y eliminación de plazas.</w:t>
      </w:r>
      <w:r>
        <w:rPr>
          <w:rFonts w:ascii="Arial" w:hAnsi="Arial" w:cs="Arial"/>
          <w:i/>
          <w:sz w:val="21"/>
          <w:szCs w:val="21"/>
          <w:lang w:eastAsia="es-CR"/>
        </w:rPr>
        <w:t>”…</w:t>
      </w:r>
    </w:p>
    <w:p w:rsidR="008118A7" w:rsidRDefault="008118A7" w:rsidP="008118A7">
      <w:pPr>
        <w:ind w:left="742" w:right="689" w:firstLine="6"/>
        <w:jc w:val="both"/>
        <w:rPr>
          <w:rFonts w:ascii="Arial" w:hAnsi="Arial" w:cs="Arial"/>
          <w:b/>
          <w:i/>
        </w:rPr>
      </w:pPr>
    </w:p>
    <w:p w:rsidR="008118A7" w:rsidRPr="00442D8D" w:rsidRDefault="008118A7" w:rsidP="00770CE2">
      <w:pPr>
        <w:numPr>
          <w:ilvl w:val="0"/>
          <w:numId w:val="4"/>
        </w:numPr>
        <w:ind w:left="284"/>
        <w:jc w:val="both"/>
        <w:outlineLvl w:val="0"/>
        <w:rPr>
          <w:rFonts w:ascii="Arial" w:eastAsia="SimSun" w:hAnsi="Arial" w:cs="Arial"/>
        </w:rPr>
      </w:pPr>
      <w:r w:rsidRPr="00442D8D">
        <w:rPr>
          <w:rFonts w:ascii="Arial" w:hAnsi="Arial" w:cs="Arial"/>
        </w:rPr>
        <w:t>El Consejo Institucional en Sesión Ordinaria No. 2746, Artículo 9, d</w:t>
      </w:r>
      <w:r>
        <w:rPr>
          <w:rFonts w:ascii="Arial" w:hAnsi="Arial" w:cs="Arial"/>
        </w:rPr>
        <w:t>el 15 de diciembre de 2011, tomó</w:t>
      </w:r>
      <w:r w:rsidRPr="00442D8D">
        <w:rPr>
          <w:rFonts w:ascii="Arial" w:hAnsi="Arial" w:cs="Arial"/>
        </w:rPr>
        <w:t xml:space="preserve"> el acuerdo: “</w:t>
      </w:r>
      <w:r w:rsidRPr="00442D8D">
        <w:rPr>
          <w:rFonts w:ascii="Arial" w:eastAsia="SimSun" w:hAnsi="Arial" w:cs="Arial"/>
          <w:i/>
        </w:rPr>
        <w:t>Aprobación del Programa de Regionalización como programa de extensión adscrito a la Vicerrectoría de Investigación y Extensión y liberación de las plazas del programa para el año 2012</w:t>
      </w:r>
      <w:r w:rsidRPr="00442D8D">
        <w:rPr>
          <w:rFonts w:ascii="Arial" w:eastAsia="SimSun" w:hAnsi="Arial" w:cs="Arial"/>
        </w:rPr>
        <w:t xml:space="preserve">”. </w:t>
      </w:r>
    </w:p>
    <w:p w:rsidR="008118A7" w:rsidRPr="0078669F" w:rsidRDefault="008118A7" w:rsidP="008118A7">
      <w:pPr>
        <w:ind w:left="868" w:right="333" w:hanging="301"/>
        <w:jc w:val="both"/>
        <w:rPr>
          <w:rFonts w:ascii="Arial" w:hAnsi="Arial" w:cs="Arial"/>
          <w:i/>
        </w:rPr>
      </w:pPr>
    </w:p>
    <w:p w:rsidR="008118A7" w:rsidRDefault="008118A7" w:rsidP="00770CE2">
      <w:pPr>
        <w:numPr>
          <w:ilvl w:val="0"/>
          <w:numId w:val="4"/>
        </w:numPr>
        <w:ind w:left="284"/>
        <w:jc w:val="both"/>
        <w:outlineLvl w:val="0"/>
        <w:rPr>
          <w:rFonts w:ascii="Arial" w:hAnsi="Arial" w:cs="Arial"/>
          <w:lang w:eastAsia="es-CR"/>
        </w:rPr>
      </w:pPr>
      <w:r w:rsidRPr="003E1B2C">
        <w:rPr>
          <w:rFonts w:ascii="Arial" w:hAnsi="Arial" w:cs="Arial"/>
        </w:rPr>
        <w:t xml:space="preserve">El Consejo Institucional en Sesión Ordinaria No. 2992, Artículo 8, del 05 de octubre de 2016, </w:t>
      </w:r>
      <w:r>
        <w:rPr>
          <w:rFonts w:ascii="Arial" w:hAnsi="Arial" w:cs="Arial"/>
        </w:rPr>
        <w:t>aprobó las “</w:t>
      </w:r>
      <w:r w:rsidRPr="003E1B2C">
        <w:rPr>
          <w:rFonts w:ascii="Arial" w:eastAsia="Calibri" w:hAnsi="Arial" w:cs="Arial"/>
        </w:rPr>
        <w:t xml:space="preserve">Plazas Nuevas, </w:t>
      </w:r>
      <w:r w:rsidRPr="00651E38">
        <w:rPr>
          <w:rFonts w:ascii="Arial" w:hAnsi="Arial" w:cs="Arial"/>
        </w:rPr>
        <w:t>Renovación</w:t>
      </w:r>
      <w:r w:rsidRPr="003E1B2C">
        <w:rPr>
          <w:rFonts w:ascii="Arial" w:eastAsia="Calibri" w:hAnsi="Arial" w:cs="Arial"/>
        </w:rPr>
        <w:t xml:space="preserve"> y Reconversión, financiadas con Fondos del Sistema 2017</w:t>
      </w:r>
      <w:r w:rsidRPr="003E1B2C">
        <w:rPr>
          <w:rFonts w:ascii="Arial" w:hAnsi="Arial" w:cs="Arial"/>
        </w:rPr>
        <w:t xml:space="preserve">”,  </w:t>
      </w:r>
      <w:r w:rsidRPr="00212362">
        <w:rPr>
          <w:rFonts w:ascii="Arial" w:hAnsi="Arial" w:cs="Arial"/>
          <w:lang w:eastAsia="es-CR"/>
        </w:rPr>
        <w:t>entre las cuales están las  p</w:t>
      </w:r>
      <w:r>
        <w:rPr>
          <w:rFonts w:ascii="Arial" w:hAnsi="Arial" w:cs="Arial"/>
          <w:lang w:eastAsia="es-CR"/>
        </w:rPr>
        <w:t xml:space="preserve">lazas, </w:t>
      </w:r>
      <w:r w:rsidRPr="0025486E">
        <w:rPr>
          <w:rFonts w:ascii="Arial" w:eastAsia="Calibri" w:hAnsi="Arial" w:cs="Arial"/>
        </w:rPr>
        <w:t>FS0016, FS0055, FS0081 y FS0111  con</w:t>
      </w:r>
      <w:r>
        <w:rPr>
          <w:rFonts w:ascii="Arial" w:hAnsi="Arial" w:cs="Arial"/>
          <w:lang w:eastAsia="es-CR"/>
        </w:rPr>
        <w:t xml:space="preserve"> las siguientes características:</w:t>
      </w:r>
    </w:p>
    <w:p w:rsidR="008118A7" w:rsidRDefault="008118A7" w:rsidP="008118A7">
      <w:pPr>
        <w:jc w:val="both"/>
        <w:rPr>
          <w:rFonts w:ascii="Arial" w:hAnsi="Arial" w:cs="Arial"/>
        </w:rPr>
      </w:pPr>
    </w:p>
    <w:tbl>
      <w:tblPr>
        <w:tblW w:w="10774" w:type="dxa"/>
        <w:tblInd w:w="-856" w:type="dxa"/>
        <w:tblCellMar>
          <w:left w:w="70" w:type="dxa"/>
          <w:right w:w="70" w:type="dxa"/>
        </w:tblCellMar>
        <w:tblLook w:val="04A0" w:firstRow="1" w:lastRow="0" w:firstColumn="1" w:lastColumn="0" w:noHBand="0" w:noVBand="1"/>
      </w:tblPr>
      <w:tblGrid>
        <w:gridCol w:w="480"/>
        <w:gridCol w:w="520"/>
        <w:gridCol w:w="923"/>
        <w:gridCol w:w="923"/>
        <w:gridCol w:w="1247"/>
        <w:gridCol w:w="377"/>
        <w:gridCol w:w="567"/>
        <w:gridCol w:w="567"/>
        <w:gridCol w:w="567"/>
        <w:gridCol w:w="851"/>
        <w:gridCol w:w="1842"/>
        <w:gridCol w:w="1910"/>
      </w:tblGrid>
      <w:tr w:rsidR="008118A7" w:rsidRPr="00656FC4" w:rsidTr="005D6A96">
        <w:trPr>
          <w:trHeight w:val="876"/>
          <w:tblHeader/>
        </w:trPr>
        <w:tc>
          <w:tcPr>
            <w:tcW w:w="4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lastRenderedPageBreak/>
              <w:t>#</w:t>
            </w:r>
          </w:p>
        </w:tc>
        <w:tc>
          <w:tcPr>
            <w:tcW w:w="520"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Programa</w:t>
            </w:r>
          </w:p>
        </w:tc>
        <w:tc>
          <w:tcPr>
            <w:tcW w:w="923"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Actual</w:t>
            </w:r>
            <w:r w:rsidRPr="00656FC4">
              <w:rPr>
                <w:rFonts w:ascii="Calibri" w:hAnsi="Calibri"/>
                <w:b/>
                <w:bCs/>
                <w:sz w:val="18"/>
                <w:szCs w:val="18"/>
                <w:lang w:eastAsia="es-CR"/>
              </w:rPr>
              <w:br/>
              <w:t xml:space="preserve">Cód. plaza </w:t>
            </w:r>
          </w:p>
        </w:tc>
        <w:tc>
          <w:tcPr>
            <w:tcW w:w="923"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Nuevo</w:t>
            </w:r>
            <w:r w:rsidRPr="00656FC4">
              <w:rPr>
                <w:rFonts w:ascii="Calibri" w:hAnsi="Calibri"/>
                <w:b/>
                <w:bCs/>
                <w:sz w:val="18"/>
                <w:szCs w:val="18"/>
                <w:lang w:eastAsia="es-CR"/>
              </w:rPr>
              <w:br/>
              <w:t xml:space="preserve">Cód. plaza </w:t>
            </w:r>
          </w:p>
        </w:tc>
        <w:tc>
          <w:tcPr>
            <w:tcW w:w="1247"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rPr>
                <w:rFonts w:ascii="Calibri" w:hAnsi="Calibri"/>
                <w:b/>
                <w:bCs/>
                <w:sz w:val="18"/>
                <w:szCs w:val="18"/>
                <w:lang w:eastAsia="es-CR"/>
              </w:rPr>
            </w:pPr>
            <w:r w:rsidRPr="00656FC4">
              <w:rPr>
                <w:rFonts w:ascii="Calibri" w:hAnsi="Calibri"/>
                <w:b/>
                <w:bCs/>
                <w:sz w:val="18"/>
                <w:szCs w:val="18"/>
                <w:lang w:eastAsia="es-CR"/>
              </w:rPr>
              <w:t>Puesto</w:t>
            </w:r>
          </w:p>
        </w:tc>
        <w:tc>
          <w:tcPr>
            <w:tcW w:w="377"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Categoría</w:t>
            </w:r>
          </w:p>
        </w:tc>
        <w:tc>
          <w:tcPr>
            <w:tcW w:w="567"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Jornada</w:t>
            </w:r>
          </w:p>
        </w:tc>
        <w:tc>
          <w:tcPr>
            <w:tcW w:w="567"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Periodo (meses)</w:t>
            </w:r>
          </w:p>
        </w:tc>
        <w:tc>
          <w:tcPr>
            <w:tcW w:w="567"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TCE</w:t>
            </w:r>
          </w:p>
        </w:tc>
        <w:tc>
          <w:tcPr>
            <w:tcW w:w="851"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Nombra-miento</w:t>
            </w:r>
          </w:p>
        </w:tc>
        <w:tc>
          <w:tcPr>
            <w:tcW w:w="1842"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rPr>
                <w:rFonts w:ascii="Calibri" w:hAnsi="Calibri"/>
                <w:b/>
                <w:bCs/>
                <w:sz w:val="18"/>
                <w:szCs w:val="18"/>
                <w:lang w:eastAsia="es-CR"/>
              </w:rPr>
            </w:pPr>
            <w:r w:rsidRPr="00656FC4">
              <w:rPr>
                <w:rFonts w:ascii="Calibri" w:hAnsi="Calibri"/>
                <w:b/>
                <w:bCs/>
                <w:sz w:val="18"/>
                <w:szCs w:val="18"/>
                <w:lang w:eastAsia="es-CR"/>
              </w:rPr>
              <w:t>Adscrita a:</w:t>
            </w:r>
          </w:p>
        </w:tc>
        <w:tc>
          <w:tcPr>
            <w:tcW w:w="1910"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rPr>
                <w:rFonts w:ascii="Calibri" w:hAnsi="Calibri"/>
                <w:b/>
                <w:bCs/>
                <w:sz w:val="18"/>
                <w:szCs w:val="18"/>
                <w:lang w:eastAsia="es-CR"/>
              </w:rPr>
            </w:pPr>
            <w:r w:rsidRPr="00656FC4">
              <w:rPr>
                <w:rFonts w:ascii="Calibri" w:hAnsi="Calibri"/>
                <w:b/>
                <w:bCs/>
                <w:sz w:val="18"/>
                <w:szCs w:val="18"/>
                <w:lang w:eastAsia="es-CR"/>
              </w:rPr>
              <w:t>Observaciones</w:t>
            </w:r>
            <w:r w:rsidRPr="00656FC4">
              <w:rPr>
                <w:rFonts w:ascii="Calibri" w:hAnsi="Calibri"/>
                <w:b/>
                <w:bCs/>
                <w:sz w:val="18"/>
                <w:szCs w:val="18"/>
                <w:lang w:eastAsia="es-CR"/>
              </w:rPr>
              <w:br/>
              <w:t>Renovación y reconversión</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FS0016</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FS0016</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Profesional en Administración</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8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1910" w:type="dxa"/>
            <w:tcBorders>
              <w:top w:val="nil"/>
              <w:left w:val="nil"/>
              <w:bottom w:val="single" w:sz="4" w:space="0" w:color="auto"/>
              <w:right w:val="single" w:sz="4" w:space="0" w:color="auto"/>
            </w:tcBorders>
            <w:shd w:val="clear" w:color="auto" w:fill="auto"/>
            <w:vAlign w:val="center"/>
            <w:hideMark/>
          </w:tcPr>
          <w:p w:rsidR="008118A7" w:rsidRDefault="008118A7" w:rsidP="005D6A96">
            <w:pPr>
              <w:rPr>
                <w:rFonts w:ascii="Calibri" w:hAnsi="Calibri"/>
                <w:sz w:val="18"/>
                <w:szCs w:val="18"/>
                <w:lang w:eastAsia="es-CR"/>
              </w:rPr>
            </w:pPr>
          </w:p>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Para el proyecto de Regionalización.</w:t>
            </w:r>
            <w:r w:rsidRPr="00C30BA6">
              <w:rPr>
                <w:rFonts w:ascii="Calibri" w:hAnsi="Calibri"/>
                <w:sz w:val="18"/>
                <w:szCs w:val="18"/>
                <w:lang w:eastAsia="es-CR"/>
              </w:rPr>
              <w:br/>
            </w:r>
            <w:r w:rsidRPr="008118A7">
              <w:rPr>
                <w:rFonts w:ascii="Calibri" w:hAnsi="Calibri"/>
                <w:sz w:val="18"/>
                <w:szCs w:val="18"/>
                <w:lang w:eastAsia="es-CR"/>
              </w:rPr>
              <w:t>Se condiciona a solo 6 meses, al informe</w:t>
            </w:r>
            <w:r w:rsidRPr="00C30BA6">
              <w:rPr>
                <w:rFonts w:ascii="Calibri" w:hAnsi="Calibri"/>
                <w:sz w:val="18"/>
                <w:szCs w:val="18"/>
                <w:lang w:eastAsia="es-CR"/>
              </w:rPr>
              <w:t xml:space="preserve"> de la auditoría y la propuesta de investigación y extensión, según el considerando indicado en el acuerdo</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FS0055</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FS0055</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Técnico en Administración</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16</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8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1910" w:type="dxa"/>
            <w:tcBorders>
              <w:top w:val="nil"/>
              <w:left w:val="nil"/>
              <w:bottom w:val="single" w:sz="4" w:space="0" w:color="auto"/>
              <w:right w:val="single" w:sz="4" w:space="0" w:color="auto"/>
            </w:tcBorders>
            <w:shd w:val="clear" w:color="auto" w:fill="auto"/>
            <w:vAlign w:val="center"/>
            <w:hideMark/>
          </w:tcPr>
          <w:p w:rsidR="008118A7" w:rsidRPr="008118A7" w:rsidRDefault="008118A7" w:rsidP="005D6A96">
            <w:pPr>
              <w:rPr>
                <w:rFonts w:ascii="Calibri" w:hAnsi="Calibri"/>
                <w:sz w:val="18"/>
                <w:szCs w:val="18"/>
                <w:lang w:eastAsia="es-CR"/>
              </w:rPr>
            </w:pPr>
          </w:p>
          <w:p w:rsidR="008118A7" w:rsidRPr="008118A7" w:rsidRDefault="008118A7" w:rsidP="005D6A96">
            <w:pPr>
              <w:rPr>
                <w:rFonts w:ascii="Calibri" w:hAnsi="Calibri"/>
                <w:sz w:val="18"/>
                <w:szCs w:val="18"/>
                <w:lang w:eastAsia="es-CR"/>
              </w:rPr>
            </w:pPr>
            <w:r w:rsidRPr="008118A7">
              <w:rPr>
                <w:rFonts w:ascii="Calibri" w:hAnsi="Calibri"/>
                <w:sz w:val="18"/>
                <w:szCs w:val="18"/>
                <w:lang w:eastAsia="es-CR"/>
              </w:rPr>
              <w:t>Para el proyecto de Regionalización.</w:t>
            </w:r>
            <w:r w:rsidRPr="008118A7">
              <w:rPr>
                <w:rFonts w:ascii="Calibri" w:hAnsi="Calibri"/>
                <w:sz w:val="18"/>
                <w:szCs w:val="18"/>
                <w:lang w:eastAsia="es-CR"/>
              </w:rPr>
              <w:br/>
              <w:t>Se condiciona a solo 6 meses, al informe de la auditoría y la propuesta de investigación y extensión, según el considerando indicado en el acuerdo</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105</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FS0081</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FS0081</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Profesor (a)</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8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1910" w:type="dxa"/>
            <w:tcBorders>
              <w:top w:val="nil"/>
              <w:left w:val="nil"/>
              <w:bottom w:val="single" w:sz="4" w:space="0" w:color="auto"/>
              <w:right w:val="single" w:sz="4" w:space="0" w:color="auto"/>
            </w:tcBorders>
            <w:shd w:val="clear" w:color="auto" w:fill="auto"/>
            <w:vAlign w:val="center"/>
            <w:hideMark/>
          </w:tcPr>
          <w:p w:rsidR="008118A7" w:rsidRPr="008118A7" w:rsidRDefault="008118A7" w:rsidP="005D6A96">
            <w:pPr>
              <w:rPr>
                <w:rFonts w:ascii="Calibri" w:hAnsi="Calibri"/>
                <w:sz w:val="18"/>
                <w:szCs w:val="18"/>
                <w:lang w:eastAsia="es-CR"/>
              </w:rPr>
            </w:pPr>
            <w:r w:rsidRPr="008118A7">
              <w:rPr>
                <w:rFonts w:ascii="Calibri" w:hAnsi="Calibri"/>
                <w:sz w:val="18"/>
                <w:szCs w:val="18"/>
                <w:lang w:eastAsia="es-CR"/>
              </w:rPr>
              <w:t>Para el proyecto de Regionalización.</w:t>
            </w:r>
            <w:r w:rsidRPr="008118A7">
              <w:rPr>
                <w:rFonts w:ascii="Calibri" w:hAnsi="Calibri"/>
                <w:sz w:val="18"/>
                <w:szCs w:val="18"/>
                <w:lang w:eastAsia="es-CR"/>
              </w:rPr>
              <w:br/>
              <w:t>Se condiciona a solo 6 meses, al informe de la auditoría y la propuesta de investigación y extensión, según el considerando indicado en el acuerdo</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107</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FS0111</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FS0111</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Técnico en Administración</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16</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8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1910" w:type="dxa"/>
            <w:tcBorders>
              <w:top w:val="nil"/>
              <w:left w:val="nil"/>
              <w:bottom w:val="single" w:sz="4" w:space="0" w:color="auto"/>
              <w:right w:val="single" w:sz="4" w:space="0" w:color="auto"/>
            </w:tcBorders>
            <w:shd w:val="clear" w:color="auto" w:fill="auto"/>
            <w:vAlign w:val="center"/>
            <w:hideMark/>
          </w:tcPr>
          <w:p w:rsidR="008118A7" w:rsidRPr="008118A7" w:rsidRDefault="008118A7" w:rsidP="005D6A96">
            <w:pPr>
              <w:rPr>
                <w:rFonts w:ascii="Calibri" w:hAnsi="Calibri"/>
                <w:sz w:val="18"/>
                <w:szCs w:val="18"/>
                <w:lang w:eastAsia="es-CR"/>
              </w:rPr>
            </w:pPr>
            <w:r w:rsidRPr="008118A7">
              <w:rPr>
                <w:rFonts w:ascii="Calibri" w:hAnsi="Calibri"/>
                <w:sz w:val="18"/>
                <w:szCs w:val="18"/>
                <w:lang w:eastAsia="es-CR"/>
              </w:rPr>
              <w:t>Para el proyecto de Regionalización.</w:t>
            </w:r>
            <w:r w:rsidRPr="008118A7">
              <w:rPr>
                <w:rFonts w:ascii="Calibri" w:hAnsi="Calibri"/>
                <w:sz w:val="18"/>
                <w:szCs w:val="18"/>
                <w:lang w:eastAsia="es-CR"/>
              </w:rPr>
              <w:br/>
              <w:t>Se condiciona a solo 6 meses, al informe de la auditoría y la propuesta de investigación y extensión, según el considerando indicado en el acuerdo</w:t>
            </w:r>
          </w:p>
        </w:tc>
      </w:tr>
    </w:tbl>
    <w:p w:rsidR="008118A7" w:rsidRDefault="008118A7" w:rsidP="008118A7">
      <w:pPr>
        <w:ind w:left="284"/>
        <w:jc w:val="both"/>
        <w:outlineLvl w:val="0"/>
        <w:rPr>
          <w:rFonts w:ascii="Arial" w:hAnsi="Arial" w:cs="Arial"/>
        </w:rPr>
      </w:pPr>
    </w:p>
    <w:p w:rsidR="008118A7" w:rsidRPr="008118A7" w:rsidRDefault="008118A7" w:rsidP="008118A7">
      <w:pPr>
        <w:ind w:left="284"/>
        <w:jc w:val="both"/>
        <w:outlineLvl w:val="0"/>
        <w:rPr>
          <w:rFonts w:ascii="Arial" w:hAnsi="Arial" w:cs="Arial"/>
        </w:rPr>
      </w:pPr>
      <w:r w:rsidRPr="008118A7">
        <w:rPr>
          <w:rFonts w:ascii="Arial" w:hAnsi="Arial" w:cs="Arial"/>
        </w:rPr>
        <w:t xml:space="preserve">En el inciso d) de dicho acuerdo señala:  </w:t>
      </w:r>
    </w:p>
    <w:p w:rsidR="008118A7" w:rsidRPr="008118A7" w:rsidRDefault="008118A7" w:rsidP="008118A7">
      <w:pPr>
        <w:jc w:val="both"/>
        <w:rPr>
          <w:rFonts w:ascii="Arial" w:hAnsi="Arial" w:cs="Arial"/>
        </w:rPr>
      </w:pPr>
    </w:p>
    <w:p w:rsidR="008118A7" w:rsidRPr="008118A7" w:rsidRDefault="008118A7" w:rsidP="008118A7">
      <w:pPr>
        <w:ind w:left="720" w:right="417"/>
        <w:jc w:val="both"/>
        <w:rPr>
          <w:rFonts w:ascii="Arial" w:hAnsi="Arial" w:cs="Arial"/>
          <w:i/>
          <w:sz w:val="21"/>
          <w:szCs w:val="21"/>
          <w:lang w:eastAsia="es-CR"/>
        </w:rPr>
      </w:pPr>
      <w:r w:rsidRPr="008118A7">
        <w:rPr>
          <w:rFonts w:ascii="Arial" w:hAnsi="Arial" w:cs="Arial"/>
          <w:i/>
          <w:sz w:val="21"/>
          <w:szCs w:val="21"/>
          <w:lang w:eastAsia="es-CR"/>
        </w:rPr>
        <w:t>“…</w:t>
      </w:r>
    </w:p>
    <w:p w:rsidR="008118A7" w:rsidRPr="008118A7" w:rsidRDefault="008118A7" w:rsidP="008118A7">
      <w:pPr>
        <w:ind w:left="720" w:right="417"/>
        <w:jc w:val="both"/>
        <w:rPr>
          <w:rFonts w:ascii="Arial" w:hAnsi="Arial" w:cs="Arial"/>
          <w:i/>
          <w:sz w:val="21"/>
          <w:szCs w:val="21"/>
          <w:lang w:eastAsia="es-CR"/>
        </w:rPr>
      </w:pPr>
    </w:p>
    <w:p w:rsidR="008118A7" w:rsidRPr="008118A7" w:rsidRDefault="008118A7" w:rsidP="008118A7">
      <w:pPr>
        <w:ind w:left="720" w:right="417"/>
        <w:jc w:val="both"/>
        <w:rPr>
          <w:rFonts w:ascii="Arial" w:hAnsi="Arial" w:cs="Arial"/>
          <w:i/>
          <w:sz w:val="21"/>
          <w:szCs w:val="21"/>
          <w:lang w:eastAsia="es-CR"/>
        </w:rPr>
      </w:pPr>
      <w:r w:rsidRPr="008118A7">
        <w:rPr>
          <w:rFonts w:ascii="Arial" w:hAnsi="Arial" w:cs="Arial"/>
          <w:i/>
          <w:sz w:val="21"/>
          <w:szCs w:val="21"/>
          <w:lang w:eastAsia="es-CR"/>
        </w:rPr>
        <w:t>d.  Solicitar a la Auditoría Interna que realice una auditoría administrativa, en los términos en que se señala en el considerando 5, y presente el informe al Consejo Institucional a más tardar el 30 de marzo de 2017..</w:t>
      </w:r>
    </w:p>
    <w:p w:rsidR="008118A7" w:rsidRPr="008118A7" w:rsidRDefault="008118A7" w:rsidP="008118A7">
      <w:pPr>
        <w:ind w:left="720" w:right="417"/>
        <w:jc w:val="both"/>
        <w:rPr>
          <w:rFonts w:ascii="Arial" w:hAnsi="Arial" w:cs="Arial"/>
          <w:i/>
          <w:sz w:val="21"/>
          <w:szCs w:val="21"/>
          <w:lang w:eastAsia="es-CR"/>
        </w:rPr>
      </w:pPr>
    </w:p>
    <w:p w:rsidR="008118A7" w:rsidRPr="008118A7" w:rsidRDefault="008118A7" w:rsidP="008118A7">
      <w:pPr>
        <w:ind w:left="720" w:right="417"/>
        <w:jc w:val="both"/>
        <w:rPr>
          <w:rFonts w:ascii="Arial" w:hAnsi="Arial" w:cs="Arial"/>
          <w:i/>
          <w:sz w:val="21"/>
          <w:szCs w:val="21"/>
          <w:lang w:eastAsia="es-CR"/>
        </w:rPr>
      </w:pPr>
      <w:r w:rsidRPr="008118A7">
        <w:rPr>
          <w:rFonts w:ascii="Arial" w:hAnsi="Arial" w:cs="Arial"/>
          <w:i/>
          <w:sz w:val="21"/>
          <w:szCs w:val="21"/>
          <w:lang w:eastAsia="es-CR"/>
        </w:rPr>
        <w:t>…”</w:t>
      </w:r>
    </w:p>
    <w:p w:rsidR="008118A7" w:rsidRPr="008118A7" w:rsidRDefault="008118A7" w:rsidP="008118A7">
      <w:pPr>
        <w:ind w:left="868" w:right="333" w:hanging="17"/>
        <w:jc w:val="both"/>
        <w:rPr>
          <w:rFonts w:ascii="Arial" w:hAnsi="Arial" w:cs="Arial"/>
          <w:i/>
        </w:rPr>
      </w:pPr>
    </w:p>
    <w:p w:rsidR="008118A7" w:rsidRPr="008118A7" w:rsidRDefault="008118A7" w:rsidP="008118A7">
      <w:pPr>
        <w:tabs>
          <w:tab w:val="left" w:pos="709"/>
        </w:tabs>
        <w:ind w:left="709"/>
        <w:jc w:val="both"/>
        <w:rPr>
          <w:rFonts w:ascii="Arial" w:hAnsi="Arial" w:cs="Arial"/>
          <w:i/>
          <w:sz w:val="22"/>
          <w:szCs w:val="22"/>
        </w:rPr>
      </w:pPr>
      <w:r w:rsidRPr="008118A7">
        <w:rPr>
          <w:rFonts w:ascii="Arial" w:hAnsi="Arial" w:cs="Arial"/>
          <w:i/>
          <w:sz w:val="22"/>
          <w:szCs w:val="22"/>
        </w:rPr>
        <w:t>El  considerando 5) indica:</w:t>
      </w:r>
    </w:p>
    <w:p w:rsidR="008118A7" w:rsidRDefault="008118A7" w:rsidP="008118A7">
      <w:pPr>
        <w:ind w:left="426"/>
        <w:jc w:val="both"/>
        <w:rPr>
          <w:rFonts w:ascii="Arial" w:hAnsi="Arial" w:cs="Arial"/>
        </w:rPr>
      </w:pPr>
      <w:r w:rsidRPr="008118A7">
        <w:rPr>
          <w:rFonts w:ascii="Arial" w:hAnsi="Arial" w:cs="Arial"/>
        </w:rPr>
        <w:tab/>
        <w:t>…</w:t>
      </w:r>
    </w:p>
    <w:p w:rsidR="008118A7" w:rsidRPr="00225D78" w:rsidRDefault="008118A7" w:rsidP="008118A7">
      <w:pPr>
        <w:ind w:left="709"/>
        <w:jc w:val="both"/>
        <w:rPr>
          <w:rFonts w:ascii="Arial" w:eastAsia="Calibri" w:hAnsi="Arial" w:cs="Arial"/>
          <w:i/>
          <w:sz w:val="20"/>
          <w:szCs w:val="20"/>
        </w:rPr>
      </w:pPr>
      <w:r>
        <w:rPr>
          <w:rFonts w:ascii="Arial" w:hAnsi="Arial" w:cs="Arial"/>
          <w:i/>
          <w:sz w:val="20"/>
          <w:szCs w:val="20"/>
        </w:rPr>
        <w:t>“</w:t>
      </w:r>
      <w:r>
        <w:rPr>
          <w:rFonts w:ascii="Arial" w:eastAsia="Calibri" w:hAnsi="Arial" w:cs="Arial"/>
          <w:i/>
          <w:sz w:val="20"/>
          <w:szCs w:val="20"/>
        </w:rPr>
        <w:t xml:space="preserve">se </w:t>
      </w:r>
      <w:r w:rsidRPr="00225D78">
        <w:rPr>
          <w:rFonts w:ascii="Arial" w:eastAsia="Calibri" w:hAnsi="Arial" w:cs="Arial"/>
          <w:i/>
          <w:sz w:val="20"/>
          <w:szCs w:val="20"/>
        </w:rPr>
        <w:t>dispone condicionar las plazas administrativas de apoyo al extensionista,  según las siguientes justificaciones:</w:t>
      </w:r>
    </w:p>
    <w:p w:rsidR="008118A7" w:rsidRDefault="008118A7" w:rsidP="008118A7">
      <w:pPr>
        <w:rPr>
          <w:rFonts w:ascii="Arial" w:eastAsia="Calibri" w:hAnsi="Arial" w:cs="Arial"/>
        </w:rPr>
      </w:pPr>
    </w:p>
    <w:p w:rsidR="008118A7" w:rsidRPr="00C03298" w:rsidRDefault="008118A7" w:rsidP="00770CE2">
      <w:pPr>
        <w:pStyle w:val="Prrafodelista"/>
        <w:numPr>
          <w:ilvl w:val="0"/>
          <w:numId w:val="6"/>
        </w:numPr>
        <w:ind w:left="993" w:right="417"/>
        <w:jc w:val="both"/>
        <w:rPr>
          <w:rFonts w:ascii="Arial" w:hAnsi="Arial" w:cs="Arial"/>
          <w:i/>
          <w:sz w:val="21"/>
          <w:szCs w:val="21"/>
          <w:lang w:eastAsia="es-CR"/>
        </w:rPr>
      </w:pPr>
      <w:r w:rsidRPr="00C03298">
        <w:rPr>
          <w:rFonts w:ascii="Arial" w:hAnsi="Arial" w:cs="Arial"/>
          <w:i/>
          <w:sz w:val="21"/>
          <w:szCs w:val="21"/>
          <w:lang w:eastAsia="es-CR"/>
        </w:rPr>
        <w:t>El Programa se ha venido reduciendo presupuestariamente, no así su aparato administrativo.</w:t>
      </w:r>
    </w:p>
    <w:p w:rsidR="008118A7" w:rsidRPr="00C03298" w:rsidRDefault="008118A7" w:rsidP="00770CE2">
      <w:pPr>
        <w:pStyle w:val="Prrafodelista"/>
        <w:numPr>
          <w:ilvl w:val="0"/>
          <w:numId w:val="6"/>
        </w:numPr>
        <w:ind w:left="993" w:right="417"/>
        <w:jc w:val="both"/>
        <w:rPr>
          <w:rFonts w:ascii="Arial" w:hAnsi="Arial" w:cs="Arial"/>
          <w:i/>
          <w:sz w:val="21"/>
          <w:szCs w:val="21"/>
          <w:lang w:eastAsia="es-CR"/>
        </w:rPr>
      </w:pPr>
      <w:r w:rsidRPr="00C03298">
        <w:rPr>
          <w:rFonts w:ascii="Arial" w:hAnsi="Arial" w:cs="Arial"/>
          <w:i/>
          <w:sz w:val="21"/>
          <w:szCs w:val="21"/>
          <w:lang w:eastAsia="es-CR"/>
        </w:rPr>
        <w:lastRenderedPageBreak/>
        <w:t>Se le solicitará a la Auditoría que elabore un estudio para revisar la estructura administrativa, que permita determinar la proporción entre personal de apoyo con respecto a las plazas asignadas a los extensionistas dentro del Programa de Regionalización.</w:t>
      </w:r>
    </w:p>
    <w:p w:rsidR="008118A7" w:rsidRPr="00C03298" w:rsidRDefault="008118A7" w:rsidP="00770CE2">
      <w:pPr>
        <w:pStyle w:val="Prrafodelista"/>
        <w:numPr>
          <w:ilvl w:val="0"/>
          <w:numId w:val="6"/>
        </w:numPr>
        <w:ind w:left="993" w:right="417"/>
        <w:jc w:val="both"/>
        <w:rPr>
          <w:rFonts w:ascii="Arial" w:hAnsi="Arial" w:cs="Arial"/>
          <w:i/>
          <w:sz w:val="21"/>
          <w:szCs w:val="21"/>
          <w:lang w:eastAsia="es-CR"/>
        </w:rPr>
      </w:pPr>
      <w:r w:rsidRPr="00C03298">
        <w:rPr>
          <w:rFonts w:ascii="Arial" w:hAnsi="Arial" w:cs="Arial"/>
          <w:i/>
          <w:sz w:val="21"/>
          <w:szCs w:val="21"/>
          <w:lang w:eastAsia="es-CR"/>
        </w:rPr>
        <w:t>Se está planteando la formulación de una dirección de extensión, y sería importante determinar cómo va a quedar el Programa de Regionalización dentro de esta nueva estructura; dicha propuesta según la Vicerrectora de Investigación estará llegando a más tardar a final de año.</w:t>
      </w:r>
    </w:p>
    <w:p w:rsidR="008118A7" w:rsidRDefault="008118A7" w:rsidP="00770CE2">
      <w:pPr>
        <w:pStyle w:val="Prrafodelista"/>
        <w:numPr>
          <w:ilvl w:val="0"/>
          <w:numId w:val="6"/>
        </w:numPr>
        <w:ind w:left="993" w:right="417"/>
        <w:jc w:val="both"/>
        <w:rPr>
          <w:rFonts w:ascii="Arial" w:hAnsi="Arial" w:cs="Arial"/>
          <w:i/>
          <w:sz w:val="21"/>
          <w:szCs w:val="21"/>
          <w:lang w:eastAsia="es-CR"/>
        </w:rPr>
      </w:pPr>
      <w:r w:rsidRPr="00C03298">
        <w:rPr>
          <w:rFonts w:ascii="Arial" w:hAnsi="Arial" w:cs="Arial"/>
          <w:i/>
          <w:sz w:val="21"/>
          <w:szCs w:val="21"/>
          <w:lang w:eastAsia="es-CR"/>
        </w:rPr>
        <w:t>Se solicitará a la administración que se reserve el presupuesto completo previsto para Regionalización.</w:t>
      </w:r>
    </w:p>
    <w:p w:rsidR="008118A7" w:rsidRPr="00263EF3" w:rsidRDefault="008118A7" w:rsidP="008118A7">
      <w:pPr>
        <w:ind w:left="273" w:right="417"/>
        <w:jc w:val="both"/>
        <w:rPr>
          <w:rFonts w:ascii="Arial" w:hAnsi="Arial" w:cs="Arial"/>
          <w:i/>
          <w:sz w:val="21"/>
          <w:szCs w:val="21"/>
          <w:lang w:eastAsia="es-CR"/>
        </w:rPr>
      </w:pPr>
    </w:p>
    <w:p w:rsidR="008118A7" w:rsidRPr="008118A7" w:rsidRDefault="008118A7" w:rsidP="008118A7">
      <w:pPr>
        <w:ind w:left="426"/>
        <w:jc w:val="both"/>
        <w:rPr>
          <w:rFonts w:ascii="Arial" w:eastAsia="Calibri" w:hAnsi="Arial" w:cs="Arial"/>
          <w:i/>
          <w:sz w:val="20"/>
          <w:szCs w:val="20"/>
        </w:rPr>
      </w:pPr>
      <w:r w:rsidRPr="00651E38">
        <w:rPr>
          <w:rFonts w:ascii="Arial" w:eastAsia="Calibri" w:hAnsi="Arial" w:cs="Arial"/>
          <w:i/>
          <w:sz w:val="20"/>
          <w:szCs w:val="20"/>
        </w:rPr>
        <w:t xml:space="preserve">Con  base en lo anterior la Comisión </w:t>
      </w:r>
      <w:r w:rsidRPr="008B317D">
        <w:rPr>
          <w:rFonts w:ascii="Arial" w:eastAsia="Calibri" w:hAnsi="Arial" w:cs="Arial"/>
          <w:b/>
          <w:i/>
          <w:sz w:val="20"/>
          <w:szCs w:val="20"/>
        </w:rPr>
        <w:t>decidió renovar las plazas administrativas de apoyo al extensionista, únicamente solo por los primeros 6 meses del año 2017</w:t>
      </w:r>
      <w:r w:rsidRPr="00651E38">
        <w:rPr>
          <w:rFonts w:ascii="Arial" w:eastAsia="Calibri" w:hAnsi="Arial" w:cs="Arial"/>
          <w:i/>
          <w:sz w:val="20"/>
          <w:szCs w:val="20"/>
        </w:rPr>
        <w:t>.</w:t>
      </w:r>
      <w:r>
        <w:rPr>
          <w:rFonts w:ascii="Arial" w:eastAsia="Calibri" w:hAnsi="Arial" w:cs="Arial"/>
          <w:i/>
          <w:sz w:val="20"/>
          <w:szCs w:val="20"/>
        </w:rPr>
        <w:t>(la negrita no es del original)</w:t>
      </w:r>
    </w:p>
    <w:p w:rsidR="008118A7" w:rsidRDefault="008118A7" w:rsidP="008118A7">
      <w:pPr>
        <w:jc w:val="both"/>
        <w:rPr>
          <w:rFonts w:ascii="Arial" w:eastAsia="Calibri" w:hAnsi="Arial" w:cs="Arial"/>
          <w:b/>
        </w:rPr>
      </w:pPr>
    </w:p>
    <w:p w:rsidR="008118A7" w:rsidRDefault="008118A7" w:rsidP="008118A7">
      <w:pPr>
        <w:jc w:val="both"/>
        <w:rPr>
          <w:rFonts w:ascii="Arial" w:eastAsia="Calibri" w:hAnsi="Arial" w:cs="Arial"/>
          <w:b/>
        </w:rPr>
      </w:pPr>
      <w:r>
        <w:rPr>
          <w:rFonts w:ascii="Arial" w:eastAsia="Calibri" w:hAnsi="Arial" w:cs="Arial"/>
          <w:b/>
        </w:rPr>
        <w:t>CONSIDERANDO</w:t>
      </w:r>
      <w:r w:rsidRPr="00DF7273">
        <w:rPr>
          <w:rFonts w:ascii="Arial" w:eastAsia="Calibri" w:hAnsi="Arial" w:cs="Arial"/>
          <w:b/>
        </w:rPr>
        <w:t xml:space="preserve"> QUE:</w:t>
      </w:r>
    </w:p>
    <w:p w:rsidR="008118A7" w:rsidRDefault="008118A7" w:rsidP="008118A7">
      <w:pPr>
        <w:jc w:val="both"/>
        <w:rPr>
          <w:rFonts w:ascii="Arial" w:eastAsia="Calibri" w:hAnsi="Arial" w:cs="Arial"/>
          <w:b/>
        </w:rPr>
      </w:pPr>
    </w:p>
    <w:p w:rsidR="008118A7" w:rsidRPr="00F567DC" w:rsidRDefault="008118A7" w:rsidP="00770CE2">
      <w:pPr>
        <w:numPr>
          <w:ilvl w:val="0"/>
          <w:numId w:val="5"/>
        </w:numPr>
        <w:jc w:val="both"/>
        <w:rPr>
          <w:rFonts w:cs="Arial"/>
          <w:b/>
        </w:rPr>
      </w:pPr>
      <w:r>
        <w:rPr>
          <w:rFonts w:ascii="Arial" w:hAnsi="Arial" w:cs="Arial"/>
        </w:rPr>
        <w:t xml:space="preserve">La Secretaría del Consejo Institucional recibió oficio </w:t>
      </w:r>
      <w:r w:rsidRPr="0025486E">
        <w:rPr>
          <w:rFonts w:ascii="Arial" w:hAnsi="Arial" w:cs="Arial"/>
        </w:rPr>
        <w:t>OPI-112-2017, con fecha de recibido 22 de febrero de 2017, suscrito por la MAU. Tatiana Fernández, Directora Ejecutiva de la Oficina de Planificación Institucional, suscrito por el Dr. Julio Calvo, Presidente del Consejo Institucional, en el cual adjunta el dictamen positivo respecto a la creación de la Dirección de Extensión, adscrita a la Vicerrectoría de Investigación y Extensión</w:t>
      </w:r>
      <w:r>
        <w:rPr>
          <w:rFonts w:ascii="Arial" w:hAnsi="Arial" w:cs="Arial"/>
        </w:rPr>
        <w:t xml:space="preserve">, remitido por la Dra. </w:t>
      </w:r>
      <w:r w:rsidRPr="0025486E">
        <w:rPr>
          <w:rFonts w:ascii="Arial" w:hAnsi="Arial" w:cs="Arial"/>
        </w:rPr>
        <w:t>Paola Vega, Vicerrectora de Investigación y Extensión</w:t>
      </w:r>
      <w:r>
        <w:rPr>
          <w:rFonts w:ascii="Arial" w:hAnsi="Arial" w:cs="Arial"/>
        </w:rPr>
        <w:t>, mediante el o</w:t>
      </w:r>
      <w:r w:rsidRPr="0025486E">
        <w:rPr>
          <w:rFonts w:ascii="Arial" w:hAnsi="Arial" w:cs="Arial"/>
        </w:rPr>
        <w:t>ficio VIE-634-2016 del 16 de setiemb</w:t>
      </w:r>
      <w:r>
        <w:rPr>
          <w:rFonts w:ascii="Arial" w:hAnsi="Arial" w:cs="Arial"/>
        </w:rPr>
        <w:t>re del 2016.</w:t>
      </w:r>
    </w:p>
    <w:p w:rsidR="008118A7" w:rsidRPr="00924526" w:rsidRDefault="008118A7" w:rsidP="008118A7">
      <w:pPr>
        <w:jc w:val="both"/>
        <w:rPr>
          <w:rFonts w:cs="Arial"/>
          <w:i/>
          <w:iCs/>
          <w:sz w:val="22"/>
          <w:szCs w:val="22"/>
        </w:rPr>
      </w:pPr>
    </w:p>
    <w:p w:rsidR="008118A7" w:rsidRPr="009728B4" w:rsidRDefault="008118A7" w:rsidP="00770CE2">
      <w:pPr>
        <w:numPr>
          <w:ilvl w:val="0"/>
          <w:numId w:val="5"/>
        </w:numPr>
        <w:jc w:val="both"/>
        <w:rPr>
          <w:rFonts w:ascii="Arial" w:hAnsi="Arial" w:cs="Arial"/>
        </w:rPr>
      </w:pPr>
      <w:r w:rsidRPr="009728B4">
        <w:rPr>
          <w:rFonts w:ascii="Arial" w:hAnsi="Arial" w:cs="Arial"/>
        </w:rPr>
        <w:t>La Secretaría del Consejo Institucional, recibió el oficio AUDI-085-2017, con fecha de recibido 28 de abril de 2017, suscrito por el Lic. Isidro Álvarez, Auditor Interno, dirigido al Dr. Julio Calvo, Presidente del Consejo Institucional, en el cual remite borrador del “Informe de Evaluación de la estructura administrativa del Programa de Regionalización Interuniversitaria”</w:t>
      </w:r>
      <w:r>
        <w:rPr>
          <w:rFonts w:ascii="Arial" w:hAnsi="Arial" w:cs="Arial"/>
        </w:rPr>
        <w:t>,</w:t>
      </w:r>
      <w:r w:rsidRPr="009728B4">
        <w:rPr>
          <w:rFonts w:ascii="Arial" w:hAnsi="Arial" w:cs="Arial"/>
        </w:rPr>
        <w:t xml:space="preserve"> en cumplimiento del inciso d. del acuerdo del Consejo Institucional, Sesión Ordinaria No. 2992, Artículo 8, del 05 de octubre de 2016</w:t>
      </w:r>
      <w:r>
        <w:rPr>
          <w:rFonts w:ascii="Arial" w:hAnsi="Arial" w:cs="Arial"/>
        </w:rPr>
        <w:t>;</w:t>
      </w:r>
      <w:r w:rsidRPr="009728B4">
        <w:rPr>
          <w:rFonts w:ascii="Arial" w:hAnsi="Arial" w:cs="Arial"/>
        </w:rPr>
        <w:t xml:space="preserve"> asimismo</w:t>
      </w:r>
      <w:r>
        <w:rPr>
          <w:rFonts w:ascii="Arial" w:hAnsi="Arial" w:cs="Arial"/>
        </w:rPr>
        <w:t>,</w:t>
      </w:r>
      <w:r w:rsidRPr="009728B4">
        <w:rPr>
          <w:rFonts w:ascii="Arial" w:hAnsi="Arial" w:cs="Arial"/>
        </w:rPr>
        <w:t xml:space="preserve"> solicita audiencia para exponer dicho informe.</w:t>
      </w:r>
    </w:p>
    <w:p w:rsidR="008118A7" w:rsidRDefault="008118A7" w:rsidP="008118A7">
      <w:pPr>
        <w:jc w:val="both"/>
        <w:rPr>
          <w:rFonts w:ascii="Arial" w:hAnsi="Arial" w:cs="Arial"/>
        </w:rPr>
      </w:pPr>
    </w:p>
    <w:p w:rsidR="008118A7" w:rsidRDefault="008118A7" w:rsidP="00770CE2">
      <w:pPr>
        <w:numPr>
          <w:ilvl w:val="0"/>
          <w:numId w:val="5"/>
        </w:numPr>
        <w:jc w:val="both"/>
        <w:rPr>
          <w:rFonts w:ascii="Arial" w:hAnsi="Arial" w:cs="Arial"/>
        </w:rPr>
      </w:pPr>
      <w:r w:rsidRPr="00A94310">
        <w:rPr>
          <w:rFonts w:ascii="Arial" w:hAnsi="Arial" w:cs="Arial"/>
        </w:rPr>
        <w:t xml:space="preserve">La Comisión de Planificación y Administración, en reunión No. 722-2017, realizada el 15 de mayo de 2017, </w:t>
      </w:r>
      <w:r>
        <w:rPr>
          <w:rFonts w:ascii="Arial" w:hAnsi="Arial" w:cs="Arial"/>
        </w:rPr>
        <w:t xml:space="preserve">analizó </w:t>
      </w:r>
      <w:r w:rsidRPr="00A94310">
        <w:rPr>
          <w:rFonts w:ascii="Arial" w:hAnsi="Arial" w:cs="Arial"/>
        </w:rPr>
        <w:t>el Informe de cumplimiento adjunto al AUDI-</w:t>
      </w:r>
      <w:r>
        <w:rPr>
          <w:rFonts w:ascii="Arial" w:hAnsi="Arial" w:cs="Arial"/>
        </w:rPr>
        <w:t>085</w:t>
      </w:r>
      <w:r w:rsidRPr="00A94310">
        <w:rPr>
          <w:rFonts w:ascii="Arial" w:hAnsi="Arial" w:cs="Arial"/>
        </w:rPr>
        <w:t>-2017, para lo cual se recibe al Lic. Isidro Álvarez Salazar, Auditor Interno, a la Máster Adriana Rodríguez, Coordinadora de la Unidad de Planificación y Finanzas Institucional de la Auditoría Interna, a la Dra. Deyanira Meza, Auditora, para la presentación del citado informe.  En esta misma reun</w:t>
      </w:r>
      <w:r w:rsidRPr="00BB196B">
        <w:rPr>
          <w:rFonts w:ascii="Arial" w:hAnsi="Arial" w:cs="Arial"/>
        </w:rPr>
        <w:t>ión se contó con la presencia de</w:t>
      </w:r>
      <w:r>
        <w:rPr>
          <w:rFonts w:ascii="Arial" w:hAnsi="Arial" w:cs="Arial"/>
        </w:rPr>
        <w:t xml:space="preserve"> </w:t>
      </w:r>
      <w:r w:rsidRPr="00BB196B">
        <w:rPr>
          <w:rFonts w:ascii="Arial" w:hAnsi="Arial" w:cs="Arial"/>
        </w:rPr>
        <w:t>l</w:t>
      </w:r>
      <w:r>
        <w:rPr>
          <w:rFonts w:ascii="Arial" w:hAnsi="Arial" w:cs="Arial"/>
        </w:rPr>
        <w:t>a</w:t>
      </w:r>
      <w:r w:rsidRPr="00BB196B">
        <w:rPr>
          <w:rFonts w:ascii="Arial" w:hAnsi="Arial" w:cs="Arial"/>
        </w:rPr>
        <w:t xml:space="preserve"> Dr</w:t>
      </w:r>
      <w:r>
        <w:rPr>
          <w:rFonts w:ascii="Arial" w:hAnsi="Arial" w:cs="Arial"/>
        </w:rPr>
        <w:t>a</w:t>
      </w:r>
      <w:r w:rsidRPr="00BB196B">
        <w:rPr>
          <w:rFonts w:ascii="Arial" w:hAnsi="Arial" w:cs="Arial"/>
        </w:rPr>
        <w:t xml:space="preserve">. </w:t>
      </w:r>
      <w:r>
        <w:rPr>
          <w:rFonts w:ascii="Arial" w:hAnsi="Arial" w:cs="Arial"/>
        </w:rPr>
        <w:t>Paola Vega</w:t>
      </w:r>
      <w:r w:rsidRPr="00BB196B">
        <w:rPr>
          <w:rFonts w:ascii="Arial" w:hAnsi="Arial" w:cs="Arial"/>
        </w:rPr>
        <w:t>, Vicerrector</w:t>
      </w:r>
      <w:r>
        <w:rPr>
          <w:rFonts w:ascii="Arial" w:hAnsi="Arial" w:cs="Arial"/>
        </w:rPr>
        <w:t>a</w:t>
      </w:r>
      <w:r w:rsidRPr="00BB196B">
        <w:rPr>
          <w:rFonts w:ascii="Arial" w:hAnsi="Arial" w:cs="Arial"/>
        </w:rPr>
        <w:t xml:space="preserve"> de </w:t>
      </w:r>
      <w:r>
        <w:rPr>
          <w:rFonts w:ascii="Arial" w:hAnsi="Arial" w:cs="Arial"/>
        </w:rPr>
        <w:t>Investigación y Extensión</w:t>
      </w:r>
      <w:r w:rsidRPr="00BB196B">
        <w:rPr>
          <w:rFonts w:ascii="Arial" w:hAnsi="Arial" w:cs="Arial"/>
        </w:rPr>
        <w:t xml:space="preserve"> y al </w:t>
      </w:r>
      <w:r>
        <w:rPr>
          <w:rFonts w:ascii="Arial" w:hAnsi="Arial" w:cs="Arial"/>
        </w:rPr>
        <w:t>Máster</w:t>
      </w:r>
      <w:r w:rsidRPr="00BB196B">
        <w:rPr>
          <w:rFonts w:ascii="Arial" w:hAnsi="Arial" w:cs="Arial"/>
        </w:rPr>
        <w:t xml:space="preserve"> </w:t>
      </w:r>
      <w:r>
        <w:rPr>
          <w:rFonts w:ascii="Arial" w:hAnsi="Arial" w:cs="Arial"/>
        </w:rPr>
        <w:t>Diego Camacho</w:t>
      </w:r>
      <w:r w:rsidRPr="00BB196B">
        <w:rPr>
          <w:rFonts w:ascii="Arial" w:hAnsi="Arial" w:cs="Arial"/>
        </w:rPr>
        <w:t xml:space="preserve">, Coordinador </w:t>
      </w:r>
      <w:r>
        <w:rPr>
          <w:rFonts w:ascii="Arial" w:hAnsi="Arial" w:cs="Arial"/>
        </w:rPr>
        <w:t>del Programa de Regionalización</w:t>
      </w:r>
      <w:r w:rsidRPr="00BB196B">
        <w:rPr>
          <w:rFonts w:ascii="Arial" w:hAnsi="Arial" w:cs="Arial"/>
        </w:rPr>
        <w:t xml:space="preserve">, </w:t>
      </w:r>
      <w:r>
        <w:rPr>
          <w:rFonts w:ascii="Arial" w:hAnsi="Arial" w:cs="Arial"/>
        </w:rPr>
        <w:t>quienes discutieron ampliamente las recomendaciones contenidas en el Informe de la Auditoría</w:t>
      </w:r>
      <w:r w:rsidRPr="00BB196B">
        <w:rPr>
          <w:rFonts w:ascii="Arial" w:hAnsi="Arial" w:cs="Arial"/>
        </w:rPr>
        <w:t>.</w:t>
      </w:r>
    </w:p>
    <w:p w:rsidR="008118A7" w:rsidRDefault="008118A7" w:rsidP="008118A7">
      <w:pPr>
        <w:jc w:val="both"/>
        <w:rPr>
          <w:rFonts w:ascii="Arial" w:hAnsi="Arial" w:cs="Arial"/>
        </w:rPr>
      </w:pPr>
    </w:p>
    <w:p w:rsidR="008118A7" w:rsidRDefault="008118A7" w:rsidP="00770CE2">
      <w:pPr>
        <w:numPr>
          <w:ilvl w:val="0"/>
          <w:numId w:val="5"/>
        </w:numPr>
        <w:jc w:val="both"/>
        <w:rPr>
          <w:rFonts w:ascii="Arial" w:hAnsi="Arial" w:cs="Arial"/>
        </w:rPr>
      </w:pPr>
      <w:r w:rsidRPr="009728B4">
        <w:rPr>
          <w:rFonts w:ascii="Arial" w:hAnsi="Arial" w:cs="Arial"/>
        </w:rPr>
        <w:t>La Secre</w:t>
      </w:r>
      <w:r>
        <w:rPr>
          <w:rFonts w:ascii="Arial" w:hAnsi="Arial" w:cs="Arial"/>
        </w:rPr>
        <w:t>taría del Consejo Institucional</w:t>
      </w:r>
      <w:r w:rsidRPr="009728B4">
        <w:rPr>
          <w:rFonts w:ascii="Arial" w:hAnsi="Arial" w:cs="Arial"/>
        </w:rPr>
        <w:t xml:space="preserve"> recibió el oficio AUDI-099-2017, con fecha de recibido 15 de mayo de 2017, suscrito por el Lic. Isidro Álvarez, Auditor Interno, dirigido al Dr. Julio Calvo, Presidente del Consejo Institucional, en el cual adjunta el  Informe AUDI-F-004-2017 “Evaluación de las estructura administrativa del Programa de Regionalización Interuniversitaria” en  cumplimiento del inciso d. del acuerdo del Consejo Institucional, Sesión Ordinaria No. 2992, Artículo 8, del 05 de octubre de 2016.</w:t>
      </w:r>
    </w:p>
    <w:p w:rsidR="008118A7" w:rsidRDefault="008118A7" w:rsidP="008118A7">
      <w:pPr>
        <w:pStyle w:val="Prrafodelista"/>
        <w:rPr>
          <w:rFonts w:ascii="Arial" w:hAnsi="Arial" w:cs="Arial"/>
        </w:rPr>
      </w:pPr>
    </w:p>
    <w:p w:rsidR="008118A7" w:rsidRDefault="008118A7" w:rsidP="008118A7">
      <w:pPr>
        <w:jc w:val="both"/>
        <w:rPr>
          <w:rFonts w:ascii="Arial" w:hAnsi="Arial" w:cs="Arial"/>
        </w:rPr>
      </w:pPr>
    </w:p>
    <w:p w:rsidR="008118A7" w:rsidRPr="009728B4" w:rsidRDefault="008118A7" w:rsidP="008118A7">
      <w:pPr>
        <w:jc w:val="both"/>
        <w:rPr>
          <w:rFonts w:ascii="Arial" w:hAnsi="Arial" w:cs="Arial"/>
        </w:rPr>
      </w:pPr>
    </w:p>
    <w:p w:rsidR="008118A7" w:rsidRDefault="008118A7" w:rsidP="008118A7">
      <w:pPr>
        <w:pStyle w:val="Prrafodelista"/>
        <w:rPr>
          <w:rFonts w:ascii="Arial" w:hAnsi="Arial" w:cs="Arial"/>
          <w:highlight w:val="yellow"/>
        </w:rPr>
      </w:pPr>
    </w:p>
    <w:p w:rsidR="008118A7" w:rsidRDefault="008118A7" w:rsidP="008118A7">
      <w:pPr>
        <w:ind w:left="426"/>
        <w:jc w:val="both"/>
        <w:rPr>
          <w:rFonts w:ascii="Arial" w:hAnsi="Arial" w:cs="Arial"/>
        </w:rPr>
      </w:pPr>
      <w:r>
        <w:rPr>
          <w:rFonts w:ascii="Arial" w:hAnsi="Arial" w:cs="Arial"/>
        </w:rPr>
        <w:t>Para lo que interesa, se transcribe el punto 4. del citado informe:</w:t>
      </w:r>
    </w:p>
    <w:p w:rsidR="008118A7" w:rsidRDefault="008118A7" w:rsidP="008118A7">
      <w:pPr>
        <w:ind w:left="426"/>
        <w:jc w:val="both"/>
        <w:rPr>
          <w:rFonts w:ascii="Arial" w:hAnsi="Arial" w:cs="Arial"/>
        </w:rPr>
      </w:pPr>
    </w:p>
    <w:p w:rsidR="008118A7" w:rsidRPr="006B5BE9" w:rsidRDefault="008118A7" w:rsidP="008118A7">
      <w:pPr>
        <w:ind w:left="567" w:right="423"/>
        <w:jc w:val="both"/>
        <w:rPr>
          <w:rFonts w:ascii="Arial" w:hAnsi="Arial" w:cs="Arial"/>
          <w:b/>
          <w:bCs/>
          <w:i/>
          <w:sz w:val="20"/>
          <w:szCs w:val="20"/>
        </w:rPr>
      </w:pPr>
      <w:r w:rsidRPr="006B5BE9">
        <w:rPr>
          <w:rFonts w:ascii="Arial" w:hAnsi="Arial" w:cs="Arial"/>
          <w:b/>
          <w:bCs/>
          <w:i/>
          <w:sz w:val="20"/>
          <w:szCs w:val="20"/>
        </w:rPr>
        <w:t xml:space="preserve"> </w:t>
      </w:r>
      <w:r>
        <w:rPr>
          <w:rFonts w:ascii="Arial" w:hAnsi="Arial" w:cs="Arial"/>
          <w:b/>
          <w:bCs/>
          <w:i/>
          <w:sz w:val="20"/>
          <w:szCs w:val="20"/>
        </w:rPr>
        <w:t xml:space="preserve">4. </w:t>
      </w:r>
      <w:r w:rsidRPr="006B5BE9">
        <w:rPr>
          <w:rFonts w:ascii="Arial" w:hAnsi="Arial" w:cs="Arial"/>
          <w:b/>
          <w:bCs/>
          <w:i/>
          <w:sz w:val="20"/>
          <w:szCs w:val="20"/>
        </w:rPr>
        <w:t>RECOMIENDA:</w:t>
      </w:r>
    </w:p>
    <w:p w:rsidR="008118A7" w:rsidRPr="006B5BE9" w:rsidRDefault="008118A7" w:rsidP="008118A7">
      <w:pPr>
        <w:ind w:left="567"/>
        <w:jc w:val="both"/>
        <w:rPr>
          <w:rFonts w:ascii="Arial" w:hAnsi="Arial" w:cs="Arial"/>
        </w:rPr>
      </w:pPr>
    </w:p>
    <w:p w:rsidR="008118A7" w:rsidRPr="006B5BE9" w:rsidRDefault="008118A7" w:rsidP="008118A7">
      <w:pPr>
        <w:ind w:left="851" w:right="423"/>
        <w:jc w:val="both"/>
        <w:rPr>
          <w:rFonts w:ascii="Arial" w:hAnsi="Arial" w:cs="Arial"/>
          <w:bCs/>
          <w:sz w:val="22"/>
          <w:szCs w:val="22"/>
        </w:rPr>
      </w:pPr>
      <w:r w:rsidRPr="006B5BE9">
        <w:rPr>
          <w:rFonts w:ascii="Arial" w:hAnsi="Arial" w:cs="Arial"/>
          <w:b/>
          <w:bCs/>
          <w:i/>
          <w:sz w:val="20"/>
          <w:szCs w:val="20"/>
        </w:rPr>
        <w:t>4.2</w:t>
      </w:r>
      <w:r w:rsidRPr="006B5BE9">
        <w:rPr>
          <w:rFonts w:ascii="Arial" w:hAnsi="Arial" w:cs="Arial"/>
          <w:bCs/>
          <w:i/>
          <w:sz w:val="20"/>
          <w:szCs w:val="20"/>
        </w:rPr>
        <w:t xml:space="preserve">  Con el fin de dar continuidad al Programa de Regionalización Interuniversitaria, con respecto a las plazas FS0016 Profesional Administración, FS0055 Técnico Administración, FS0081 Profesor y FS0111 Técnico en Administración, valorar la pertinencia de ampliar el período de vigencia y el tiempo completo equivalente (TCE), para el II semestre 2017, mediante el acuerdo respectivo</w:t>
      </w:r>
      <w:r w:rsidRPr="006B5BE9">
        <w:rPr>
          <w:rFonts w:ascii="Arial" w:hAnsi="Arial" w:cs="Arial"/>
          <w:bCs/>
          <w:sz w:val="22"/>
          <w:szCs w:val="22"/>
        </w:rPr>
        <w:t>.</w:t>
      </w:r>
    </w:p>
    <w:p w:rsidR="008118A7" w:rsidRPr="008118A7" w:rsidRDefault="008118A7" w:rsidP="008118A7">
      <w:pPr>
        <w:rPr>
          <w:rFonts w:ascii="Arial" w:eastAsia="Calibri" w:hAnsi="Arial" w:cs="Arial"/>
        </w:rPr>
      </w:pPr>
    </w:p>
    <w:p w:rsidR="008118A7" w:rsidRPr="001E0A37" w:rsidRDefault="008118A7" w:rsidP="00770CE2">
      <w:pPr>
        <w:numPr>
          <w:ilvl w:val="0"/>
          <w:numId w:val="5"/>
        </w:numPr>
        <w:jc w:val="both"/>
        <w:rPr>
          <w:rFonts w:ascii="Arial" w:eastAsia="Calibri" w:hAnsi="Arial" w:cs="Arial"/>
        </w:rPr>
      </w:pPr>
      <w:r w:rsidRPr="001E0A37">
        <w:rPr>
          <w:rFonts w:ascii="Arial" w:eastAsia="Calibri" w:hAnsi="Arial" w:cs="Arial"/>
        </w:rPr>
        <w:t>La Comisión de Planificación y Administración en la reunión No. 723-2017, realizada el 22 de mayo de 2017, continua con el análisis del Informe de Auditoría Interna, en virtud de que la Comisión tiene en análisis  la propuesta de la creación de la Dirección de Extensión,  citada en el considerando 1, se considera que la debilidad sobre la relación personal apoyo/profesor se podría subsanar con incorporación del Programa de Regionalización dentro de dicha Dirección, por lo que  dispone elevar la propuesta al pleno  para ampliar el nombramiento de las plazas</w:t>
      </w:r>
      <w:r w:rsidRPr="001E0A37">
        <w:rPr>
          <w:rFonts w:ascii="Arial" w:hAnsi="Arial" w:cs="Arial"/>
          <w:lang w:eastAsia="es-CR"/>
        </w:rPr>
        <w:t xml:space="preserve">, </w:t>
      </w:r>
      <w:r w:rsidRPr="001E0A37">
        <w:rPr>
          <w:rFonts w:ascii="Arial" w:eastAsia="Calibri" w:hAnsi="Arial" w:cs="Arial"/>
        </w:rPr>
        <w:t>FS0016, FS0055, FS0081 y FS0111  al mes de diciembre de 2017, mientras se determina la ubicación interna del Programa de Regionalización dentro de esa nueva estructura.</w:t>
      </w:r>
    </w:p>
    <w:p w:rsidR="008118A7" w:rsidRPr="003A5326" w:rsidRDefault="008118A7" w:rsidP="008118A7">
      <w:pPr>
        <w:jc w:val="both"/>
        <w:rPr>
          <w:rFonts w:ascii="Arial" w:eastAsia="Calibri" w:hAnsi="Arial" w:cs="Arial"/>
        </w:rPr>
      </w:pPr>
    </w:p>
    <w:p w:rsidR="008118A7" w:rsidRDefault="008118A7" w:rsidP="008118A7">
      <w:pPr>
        <w:spacing w:after="120" w:line="276" w:lineRule="auto"/>
        <w:jc w:val="both"/>
        <w:rPr>
          <w:rFonts w:ascii="Arial" w:eastAsia="Calibri" w:hAnsi="Arial" w:cs="Arial"/>
          <w:b/>
        </w:rPr>
      </w:pPr>
      <w:r w:rsidRPr="00B87D56">
        <w:rPr>
          <w:rFonts w:ascii="Arial" w:eastAsia="Calibri" w:hAnsi="Arial" w:cs="Arial"/>
          <w:b/>
        </w:rPr>
        <w:t>SE</w:t>
      </w:r>
      <w:r>
        <w:rPr>
          <w:rFonts w:ascii="Arial" w:eastAsia="Calibri" w:hAnsi="Arial" w:cs="Arial"/>
          <w:b/>
        </w:rPr>
        <w:t xml:space="preserve"> ACUERDA</w:t>
      </w:r>
      <w:r w:rsidRPr="00B87D56">
        <w:rPr>
          <w:rFonts w:ascii="Arial" w:eastAsia="Calibri" w:hAnsi="Arial" w:cs="Arial"/>
          <w:b/>
        </w:rPr>
        <w:t>:</w:t>
      </w:r>
    </w:p>
    <w:p w:rsidR="008118A7" w:rsidRPr="00A8623D" w:rsidRDefault="008118A7" w:rsidP="00770CE2">
      <w:pPr>
        <w:numPr>
          <w:ilvl w:val="0"/>
          <w:numId w:val="3"/>
        </w:numPr>
        <w:autoSpaceDE w:val="0"/>
        <w:autoSpaceDN w:val="0"/>
        <w:adjustRightInd w:val="0"/>
        <w:jc w:val="both"/>
        <w:rPr>
          <w:rFonts w:ascii="Arial" w:hAnsi="Arial" w:cs="Arial"/>
          <w:lang w:eastAsia="es-CR"/>
        </w:rPr>
      </w:pPr>
      <w:r>
        <w:rPr>
          <w:rFonts w:ascii="Arial" w:hAnsi="Arial" w:cs="Arial"/>
          <w:lang w:val="es-CR"/>
        </w:rPr>
        <w:t xml:space="preserve">Modificar las condiciones </w:t>
      </w:r>
      <w:r w:rsidRPr="00012EE8">
        <w:rPr>
          <w:rFonts w:ascii="Arial" w:hAnsi="Arial" w:cs="Arial"/>
          <w:lang w:eastAsia="es-CR"/>
        </w:rPr>
        <w:t>de las plazas</w:t>
      </w:r>
      <w:r>
        <w:rPr>
          <w:rFonts w:ascii="Arial" w:hAnsi="Arial" w:cs="Arial"/>
          <w:lang w:eastAsia="es-CR"/>
        </w:rPr>
        <w:t xml:space="preserve"> </w:t>
      </w:r>
      <w:r w:rsidRPr="0025486E">
        <w:rPr>
          <w:rFonts w:ascii="Arial" w:eastAsia="Calibri" w:hAnsi="Arial" w:cs="Arial"/>
        </w:rPr>
        <w:t>FS0016, FS0055, FS0081 y FS0111</w:t>
      </w:r>
      <w:r>
        <w:rPr>
          <w:rFonts w:ascii="Arial" w:eastAsia="Calibri" w:hAnsi="Arial" w:cs="Arial"/>
        </w:rPr>
        <w:t xml:space="preserve">, </w:t>
      </w:r>
      <w:r w:rsidRPr="00012EE8">
        <w:rPr>
          <w:rFonts w:ascii="Arial" w:hAnsi="Arial" w:cs="Arial"/>
          <w:lang w:eastAsia="es-CR"/>
        </w:rPr>
        <w:t xml:space="preserve">adscritas a la </w:t>
      </w:r>
      <w:r>
        <w:rPr>
          <w:rFonts w:ascii="Arial" w:hAnsi="Arial" w:cs="Arial"/>
          <w:lang w:eastAsia="es-CR"/>
        </w:rPr>
        <w:t>Vicerrectoría de Investigación</w:t>
      </w:r>
      <w:r w:rsidRPr="00012EE8">
        <w:rPr>
          <w:rFonts w:ascii="Arial" w:hAnsi="Arial" w:cs="Arial"/>
          <w:lang w:eastAsia="es-CR"/>
        </w:rPr>
        <w:t xml:space="preserve">, </w:t>
      </w:r>
      <w:r>
        <w:rPr>
          <w:rFonts w:ascii="Arial" w:hAnsi="Arial" w:cs="Arial"/>
          <w:lang w:eastAsia="es-CR"/>
        </w:rPr>
        <w:t xml:space="preserve">aprobadas mediante el </w:t>
      </w:r>
      <w:r w:rsidRPr="00012EE8">
        <w:rPr>
          <w:rFonts w:ascii="Arial" w:hAnsi="Arial" w:cs="Arial"/>
          <w:lang w:eastAsia="es-CR"/>
        </w:rPr>
        <w:t xml:space="preserve">acuerdo </w:t>
      </w:r>
      <w:r w:rsidRPr="003E1B2C">
        <w:rPr>
          <w:rFonts w:ascii="Arial" w:hAnsi="Arial" w:cs="Arial"/>
        </w:rPr>
        <w:t xml:space="preserve">Sesión Ordinaria No. 2992, Artículo 8, del 05 de octubre de 2016, </w:t>
      </w:r>
      <w:r>
        <w:rPr>
          <w:rFonts w:ascii="Arial" w:hAnsi="Arial" w:cs="Arial"/>
        </w:rPr>
        <w:t>“</w:t>
      </w:r>
      <w:r w:rsidRPr="003E1B2C">
        <w:rPr>
          <w:rFonts w:ascii="Arial" w:eastAsia="Calibri" w:hAnsi="Arial" w:cs="Arial"/>
        </w:rPr>
        <w:t xml:space="preserve">Plazas Nuevas, </w:t>
      </w:r>
      <w:r w:rsidRPr="00651E38">
        <w:rPr>
          <w:rFonts w:ascii="Arial" w:hAnsi="Arial" w:cs="Arial"/>
        </w:rPr>
        <w:t>Renovación</w:t>
      </w:r>
      <w:r w:rsidRPr="003E1B2C">
        <w:rPr>
          <w:rFonts w:ascii="Arial" w:eastAsia="Calibri" w:hAnsi="Arial" w:cs="Arial"/>
        </w:rPr>
        <w:t xml:space="preserve"> y Reconversión, financiadas con Fondos del Sistema 2017</w:t>
      </w:r>
      <w:r>
        <w:rPr>
          <w:rFonts w:ascii="Arial" w:eastAsia="Calibri" w:hAnsi="Arial" w:cs="Arial"/>
        </w:rPr>
        <w:t xml:space="preserve">”, </w:t>
      </w:r>
      <w:r w:rsidRPr="00A8623D">
        <w:rPr>
          <w:rFonts w:ascii="Arial" w:hAnsi="Arial" w:cs="Arial"/>
          <w:lang w:eastAsia="es-CR"/>
        </w:rPr>
        <w:t>para ampliar el nombramiento al 31 de diciembre de 2017, como se detalla en el siguiente cuadro:</w:t>
      </w:r>
    </w:p>
    <w:p w:rsidR="008118A7" w:rsidRDefault="008118A7" w:rsidP="008118A7">
      <w:pPr>
        <w:jc w:val="both"/>
        <w:rPr>
          <w:rFonts w:ascii="Arial" w:hAnsi="Arial" w:cs="Arial"/>
          <w:b/>
          <w:sz w:val="22"/>
          <w:szCs w:val="22"/>
          <w:lang w:val="es-CR"/>
        </w:rPr>
      </w:pPr>
    </w:p>
    <w:tbl>
      <w:tblPr>
        <w:tblW w:w="10774" w:type="dxa"/>
        <w:tblInd w:w="-856" w:type="dxa"/>
        <w:tblCellMar>
          <w:left w:w="70" w:type="dxa"/>
          <w:right w:w="70" w:type="dxa"/>
        </w:tblCellMar>
        <w:tblLook w:val="04A0" w:firstRow="1" w:lastRow="0" w:firstColumn="1" w:lastColumn="0" w:noHBand="0" w:noVBand="1"/>
      </w:tblPr>
      <w:tblGrid>
        <w:gridCol w:w="480"/>
        <w:gridCol w:w="520"/>
        <w:gridCol w:w="923"/>
        <w:gridCol w:w="923"/>
        <w:gridCol w:w="1247"/>
        <w:gridCol w:w="377"/>
        <w:gridCol w:w="567"/>
        <w:gridCol w:w="567"/>
        <w:gridCol w:w="567"/>
        <w:gridCol w:w="851"/>
        <w:gridCol w:w="1342"/>
        <w:gridCol w:w="2410"/>
      </w:tblGrid>
      <w:tr w:rsidR="008118A7" w:rsidRPr="00656FC4" w:rsidTr="005D6A96">
        <w:trPr>
          <w:trHeight w:val="876"/>
          <w:tblHeader/>
        </w:trPr>
        <w:tc>
          <w:tcPr>
            <w:tcW w:w="4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w:t>
            </w:r>
          </w:p>
        </w:tc>
        <w:tc>
          <w:tcPr>
            <w:tcW w:w="520"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Programa</w:t>
            </w:r>
          </w:p>
        </w:tc>
        <w:tc>
          <w:tcPr>
            <w:tcW w:w="923"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Actual</w:t>
            </w:r>
            <w:r w:rsidRPr="00656FC4">
              <w:rPr>
                <w:rFonts w:ascii="Calibri" w:hAnsi="Calibri"/>
                <w:b/>
                <w:bCs/>
                <w:sz w:val="18"/>
                <w:szCs w:val="18"/>
                <w:lang w:eastAsia="es-CR"/>
              </w:rPr>
              <w:br/>
              <w:t xml:space="preserve">Cód. plaza </w:t>
            </w:r>
          </w:p>
        </w:tc>
        <w:tc>
          <w:tcPr>
            <w:tcW w:w="923"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Nuevo</w:t>
            </w:r>
            <w:r w:rsidRPr="00656FC4">
              <w:rPr>
                <w:rFonts w:ascii="Calibri" w:hAnsi="Calibri"/>
                <w:b/>
                <w:bCs/>
                <w:sz w:val="18"/>
                <w:szCs w:val="18"/>
                <w:lang w:eastAsia="es-CR"/>
              </w:rPr>
              <w:br/>
              <w:t xml:space="preserve">Cód. plaza </w:t>
            </w:r>
          </w:p>
        </w:tc>
        <w:tc>
          <w:tcPr>
            <w:tcW w:w="1247"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rPr>
                <w:rFonts w:ascii="Calibri" w:hAnsi="Calibri"/>
                <w:b/>
                <w:bCs/>
                <w:sz w:val="18"/>
                <w:szCs w:val="18"/>
                <w:lang w:eastAsia="es-CR"/>
              </w:rPr>
            </w:pPr>
            <w:r w:rsidRPr="00656FC4">
              <w:rPr>
                <w:rFonts w:ascii="Calibri" w:hAnsi="Calibri"/>
                <w:b/>
                <w:bCs/>
                <w:sz w:val="18"/>
                <w:szCs w:val="18"/>
                <w:lang w:eastAsia="es-CR"/>
              </w:rPr>
              <w:t>Puesto</w:t>
            </w:r>
          </w:p>
        </w:tc>
        <w:tc>
          <w:tcPr>
            <w:tcW w:w="377"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Categoría</w:t>
            </w:r>
          </w:p>
        </w:tc>
        <w:tc>
          <w:tcPr>
            <w:tcW w:w="567"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Jornada</w:t>
            </w:r>
          </w:p>
        </w:tc>
        <w:tc>
          <w:tcPr>
            <w:tcW w:w="567" w:type="dxa"/>
            <w:tcBorders>
              <w:top w:val="single" w:sz="4" w:space="0" w:color="auto"/>
              <w:left w:val="nil"/>
              <w:bottom w:val="single" w:sz="4" w:space="0" w:color="auto"/>
              <w:right w:val="single" w:sz="4" w:space="0" w:color="auto"/>
            </w:tcBorders>
            <w:shd w:val="clear" w:color="000000" w:fill="00B050"/>
            <w:textDirection w:val="btLr"/>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Periodo (meses)</w:t>
            </w:r>
          </w:p>
        </w:tc>
        <w:tc>
          <w:tcPr>
            <w:tcW w:w="567"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TCE</w:t>
            </w:r>
          </w:p>
        </w:tc>
        <w:tc>
          <w:tcPr>
            <w:tcW w:w="851"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jc w:val="center"/>
              <w:rPr>
                <w:rFonts w:ascii="Calibri" w:hAnsi="Calibri"/>
                <w:b/>
                <w:bCs/>
                <w:sz w:val="18"/>
                <w:szCs w:val="18"/>
                <w:lang w:eastAsia="es-CR"/>
              </w:rPr>
            </w:pPr>
            <w:r w:rsidRPr="00656FC4">
              <w:rPr>
                <w:rFonts w:ascii="Calibri" w:hAnsi="Calibri"/>
                <w:b/>
                <w:bCs/>
                <w:sz w:val="18"/>
                <w:szCs w:val="18"/>
                <w:lang w:eastAsia="es-CR"/>
              </w:rPr>
              <w:t>Nombra-miento</w:t>
            </w:r>
          </w:p>
        </w:tc>
        <w:tc>
          <w:tcPr>
            <w:tcW w:w="1342" w:type="dxa"/>
            <w:tcBorders>
              <w:top w:val="single" w:sz="4" w:space="0" w:color="auto"/>
              <w:left w:val="nil"/>
              <w:bottom w:val="single" w:sz="4" w:space="0" w:color="auto"/>
              <w:right w:val="single" w:sz="4" w:space="0" w:color="auto"/>
            </w:tcBorders>
            <w:shd w:val="clear" w:color="000000" w:fill="00B050"/>
            <w:vAlign w:val="center"/>
            <w:hideMark/>
          </w:tcPr>
          <w:p w:rsidR="008118A7" w:rsidRPr="00656FC4" w:rsidRDefault="008118A7" w:rsidP="005D6A96">
            <w:pPr>
              <w:rPr>
                <w:rFonts w:ascii="Calibri" w:hAnsi="Calibri"/>
                <w:b/>
                <w:bCs/>
                <w:sz w:val="18"/>
                <w:szCs w:val="18"/>
                <w:lang w:eastAsia="es-CR"/>
              </w:rPr>
            </w:pPr>
            <w:r w:rsidRPr="00656FC4">
              <w:rPr>
                <w:rFonts w:ascii="Calibri" w:hAnsi="Calibri"/>
                <w:b/>
                <w:bCs/>
                <w:sz w:val="18"/>
                <w:szCs w:val="18"/>
                <w:lang w:eastAsia="es-CR"/>
              </w:rPr>
              <w:t>Adscrita a:</w:t>
            </w:r>
          </w:p>
        </w:tc>
        <w:tc>
          <w:tcPr>
            <w:tcW w:w="2410" w:type="dxa"/>
            <w:tcBorders>
              <w:top w:val="single" w:sz="4" w:space="0" w:color="auto"/>
              <w:left w:val="nil"/>
              <w:bottom w:val="single" w:sz="4" w:space="0" w:color="auto"/>
              <w:right w:val="single" w:sz="4" w:space="0" w:color="auto"/>
            </w:tcBorders>
            <w:shd w:val="clear" w:color="000000" w:fill="00B050"/>
            <w:vAlign w:val="center"/>
            <w:hideMark/>
          </w:tcPr>
          <w:p w:rsidR="008118A7" w:rsidRPr="00F47EE7" w:rsidRDefault="008118A7" w:rsidP="005D6A96">
            <w:pPr>
              <w:rPr>
                <w:rFonts w:ascii="Calibri" w:hAnsi="Calibri"/>
                <w:b/>
                <w:bCs/>
                <w:sz w:val="18"/>
                <w:szCs w:val="18"/>
                <w:lang w:eastAsia="es-CR"/>
              </w:rPr>
            </w:pPr>
            <w:r w:rsidRPr="00F47EE7">
              <w:rPr>
                <w:rFonts w:ascii="Calibri" w:hAnsi="Calibri"/>
                <w:b/>
                <w:bCs/>
                <w:sz w:val="18"/>
                <w:szCs w:val="18"/>
                <w:lang w:eastAsia="es-CR"/>
              </w:rPr>
              <w:t>Observaciones</w:t>
            </w:r>
            <w:r w:rsidRPr="00F47EE7">
              <w:rPr>
                <w:rFonts w:ascii="Calibri" w:hAnsi="Calibri"/>
                <w:b/>
                <w:bCs/>
                <w:sz w:val="18"/>
                <w:szCs w:val="18"/>
                <w:lang w:eastAsia="es-CR"/>
              </w:rPr>
              <w:br/>
              <w:t>Renovación y reconversión</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101</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FS0016</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FS0016</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Profesional en Administración</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3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2410" w:type="dxa"/>
            <w:tcBorders>
              <w:top w:val="nil"/>
              <w:left w:val="nil"/>
              <w:bottom w:val="single" w:sz="4" w:space="0" w:color="auto"/>
              <w:right w:val="single" w:sz="4" w:space="0" w:color="auto"/>
            </w:tcBorders>
            <w:shd w:val="clear" w:color="auto" w:fill="auto"/>
            <w:vAlign w:val="center"/>
            <w:hideMark/>
          </w:tcPr>
          <w:p w:rsidR="008118A7" w:rsidRPr="00A8623D" w:rsidRDefault="008118A7" w:rsidP="005D6A96">
            <w:pPr>
              <w:rPr>
                <w:rFonts w:ascii="Calibri" w:hAnsi="Calibri"/>
                <w:sz w:val="18"/>
                <w:szCs w:val="18"/>
                <w:lang w:eastAsia="es-CR"/>
              </w:rPr>
            </w:pPr>
            <w:r w:rsidRPr="00A8623D">
              <w:rPr>
                <w:rFonts w:ascii="Calibri" w:hAnsi="Calibri"/>
                <w:sz w:val="18"/>
                <w:szCs w:val="18"/>
                <w:lang w:eastAsia="es-CR"/>
              </w:rPr>
              <w:t>Para el proyecto de Regionalización.</w:t>
            </w:r>
            <w:r w:rsidRPr="00A8623D">
              <w:rPr>
                <w:rFonts w:ascii="Calibri" w:hAnsi="Calibri"/>
                <w:sz w:val="18"/>
                <w:szCs w:val="18"/>
                <w:lang w:eastAsia="es-CR"/>
              </w:rPr>
              <w:br/>
              <w:t>Se condiciona a solo 6 meses, al informe de la auditoría y la propuesta de investigación y extensión, según el considerando indicado en el acuerdo</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FS0055</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FS0055</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Técnico en Administración</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16</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3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2410" w:type="dxa"/>
            <w:tcBorders>
              <w:top w:val="nil"/>
              <w:left w:val="nil"/>
              <w:bottom w:val="single" w:sz="4" w:space="0" w:color="auto"/>
              <w:right w:val="single" w:sz="4" w:space="0" w:color="auto"/>
            </w:tcBorders>
            <w:shd w:val="clear" w:color="auto" w:fill="auto"/>
            <w:vAlign w:val="center"/>
            <w:hideMark/>
          </w:tcPr>
          <w:p w:rsidR="008118A7" w:rsidRPr="00A8623D" w:rsidRDefault="008118A7" w:rsidP="005D6A96">
            <w:pPr>
              <w:rPr>
                <w:rFonts w:ascii="Calibri" w:hAnsi="Calibri"/>
                <w:sz w:val="18"/>
                <w:szCs w:val="18"/>
                <w:lang w:eastAsia="es-CR"/>
              </w:rPr>
            </w:pPr>
            <w:r w:rsidRPr="00A8623D">
              <w:rPr>
                <w:rFonts w:ascii="Calibri" w:hAnsi="Calibri"/>
                <w:sz w:val="18"/>
                <w:szCs w:val="18"/>
                <w:lang w:eastAsia="es-CR"/>
              </w:rPr>
              <w:t>Para el proyecto de Regionalización.</w:t>
            </w:r>
            <w:r w:rsidRPr="00A8623D">
              <w:rPr>
                <w:rFonts w:ascii="Calibri" w:hAnsi="Calibri"/>
                <w:sz w:val="18"/>
                <w:szCs w:val="18"/>
                <w:lang w:eastAsia="es-CR"/>
              </w:rPr>
              <w:br/>
              <w:t>Se condiciona a solo 6 meses, al informe de la auditoría y la propuesta de investigación y extensión, según el considerando indicado en el acuerdo</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105</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FS0081</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FS0081</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Profesor (a)</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3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2410" w:type="dxa"/>
            <w:tcBorders>
              <w:top w:val="nil"/>
              <w:left w:val="nil"/>
              <w:bottom w:val="single" w:sz="4" w:space="0" w:color="auto"/>
              <w:right w:val="single" w:sz="4" w:space="0" w:color="auto"/>
            </w:tcBorders>
            <w:shd w:val="clear" w:color="auto" w:fill="auto"/>
            <w:vAlign w:val="center"/>
            <w:hideMark/>
          </w:tcPr>
          <w:p w:rsidR="008118A7" w:rsidRPr="00A8623D" w:rsidRDefault="008118A7" w:rsidP="005D6A96">
            <w:pPr>
              <w:rPr>
                <w:rFonts w:ascii="Calibri" w:hAnsi="Calibri"/>
                <w:sz w:val="18"/>
                <w:szCs w:val="18"/>
                <w:lang w:eastAsia="es-CR"/>
              </w:rPr>
            </w:pPr>
            <w:r w:rsidRPr="00A8623D">
              <w:rPr>
                <w:rFonts w:ascii="Calibri" w:hAnsi="Calibri"/>
                <w:sz w:val="18"/>
                <w:szCs w:val="18"/>
                <w:lang w:eastAsia="es-CR"/>
              </w:rPr>
              <w:t>Para el proyecto de Regionalización.</w:t>
            </w:r>
            <w:r w:rsidRPr="00A8623D">
              <w:rPr>
                <w:rFonts w:ascii="Calibri" w:hAnsi="Calibri"/>
                <w:sz w:val="18"/>
                <w:szCs w:val="18"/>
                <w:lang w:eastAsia="es-CR"/>
              </w:rPr>
              <w:br/>
              <w:t>Se condiciona a solo 6 meses, al informe de la auditoría y la propuesta de investigación y extensión, según el considerando indicado en el acuerdo</w:t>
            </w:r>
          </w:p>
        </w:tc>
      </w:tr>
      <w:tr w:rsidR="008118A7" w:rsidRPr="00C30BA6" w:rsidTr="005D6A96">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107</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4</w:t>
            </w:r>
          </w:p>
        </w:tc>
        <w:tc>
          <w:tcPr>
            <w:tcW w:w="923"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FS0111</w:t>
            </w:r>
          </w:p>
        </w:tc>
        <w:tc>
          <w:tcPr>
            <w:tcW w:w="923"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FS0111</w:t>
            </w:r>
          </w:p>
        </w:tc>
        <w:tc>
          <w:tcPr>
            <w:tcW w:w="1247"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Técnico en Administración</w:t>
            </w:r>
          </w:p>
        </w:tc>
        <w:tc>
          <w:tcPr>
            <w:tcW w:w="37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16</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18A7" w:rsidRPr="00C30BA6" w:rsidRDefault="008118A7" w:rsidP="005D6A96">
            <w:pPr>
              <w:jc w:val="center"/>
              <w:rPr>
                <w:rFonts w:ascii="Calibri" w:hAnsi="Calibri"/>
                <w:sz w:val="18"/>
                <w:szCs w:val="18"/>
                <w:lang w:eastAsia="es-CR"/>
              </w:rPr>
            </w:pPr>
            <w:r w:rsidRPr="00C30BA6">
              <w:rPr>
                <w:rFonts w:ascii="Calibri" w:hAnsi="Calibri"/>
                <w:sz w:val="18"/>
                <w:szCs w:val="18"/>
                <w:lang w:eastAsia="es-CR"/>
              </w:rPr>
              <w:t>Temporal</w:t>
            </w:r>
          </w:p>
        </w:tc>
        <w:tc>
          <w:tcPr>
            <w:tcW w:w="1342" w:type="dxa"/>
            <w:tcBorders>
              <w:top w:val="nil"/>
              <w:left w:val="nil"/>
              <w:bottom w:val="single" w:sz="4" w:space="0" w:color="auto"/>
              <w:right w:val="single" w:sz="4" w:space="0" w:color="auto"/>
            </w:tcBorders>
            <w:shd w:val="clear" w:color="auto" w:fill="auto"/>
            <w:vAlign w:val="center"/>
            <w:hideMark/>
          </w:tcPr>
          <w:p w:rsidR="008118A7" w:rsidRPr="00C30BA6" w:rsidRDefault="008118A7" w:rsidP="005D6A96">
            <w:pPr>
              <w:rPr>
                <w:rFonts w:ascii="Calibri" w:hAnsi="Calibri"/>
                <w:sz w:val="18"/>
                <w:szCs w:val="18"/>
                <w:lang w:eastAsia="es-CR"/>
              </w:rPr>
            </w:pPr>
            <w:r w:rsidRPr="00C30BA6">
              <w:rPr>
                <w:rFonts w:ascii="Calibri" w:hAnsi="Calibri"/>
                <w:sz w:val="18"/>
                <w:szCs w:val="18"/>
                <w:lang w:eastAsia="es-CR"/>
              </w:rPr>
              <w:t>Dirección Vicerrectoría de Investigación y Extensión</w:t>
            </w:r>
          </w:p>
        </w:tc>
        <w:tc>
          <w:tcPr>
            <w:tcW w:w="2410" w:type="dxa"/>
            <w:tcBorders>
              <w:top w:val="nil"/>
              <w:left w:val="nil"/>
              <w:bottom w:val="single" w:sz="4" w:space="0" w:color="auto"/>
              <w:right w:val="single" w:sz="4" w:space="0" w:color="auto"/>
            </w:tcBorders>
            <w:shd w:val="clear" w:color="auto" w:fill="auto"/>
            <w:vAlign w:val="center"/>
            <w:hideMark/>
          </w:tcPr>
          <w:p w:rsidR="008118A7" w:rsidRPr="00A8623D" w:rsidRDefault="008118A7" w:rsidP="005D6A96">
            <w:pPr>
              <w:rPr>
                <w:rFonts w:ascii="Calibri" w:hAnsi="Calibri"/>
                <w:sz w:val="18"/>
                <w:szCs w:val="18"/>
                <w:lang w:eastAsia="es-CR"/>
              </w:rPr>
            </w:pPr>
            <w:r w:rsidRPr="00A8623D">
              <w:rPr>
                <w:rFonts w:ascii="Calibri" w:hAnsi="Calibri"/>
                <w:sz w:val="18"/>
                <w:szCs w:val="18"/>
                <w:lang w:eastAsia="es-CR"/>
              </w:rPr>
              <w:t>Para el proyecto de Regionalización.</w:t>
            </w:r>
            <w:r w:rsidRPr="00A8623D">
              <w:rPr>
                <w:rFonts w:ascii="Calibri" w:hAnsi="Calibri"/>
                <w:sz w:val="18"/>
                <w:szCs w:val="18"/>
                <w:lang w:eastAsia="es-CR"/>
              </w:rPr>
              <w:br/>
              <w:t>Se condiciona a solo 6 meses, al informe de la auditoría y la propuesta de investigación y extensión, según el considerando indicado en el acuerdo</w:t>
            </w:r>
          </w:p>
        </w:tc>
      </w:tr>
    </w:tbl>
    <w:p w:rsidR="008118A7" w:rsidRDefault="008118A7" w:rsidP="008118A7">
      <w:pPr>
        <w:jc w:val="both"/>
        <w:rPr>
          <w:rFonts w:ascii="Arial" w:hAnsi="Arial" w:cs="Arial"/>
          <w:b/>
          <w:sz w:val="22"/>
          <w:szCs w:val="22"/>
        </w:rPr>
      </w:pPr>
    </w:p>
    <w:p w:rsidR="008118A7" w:rsidRDefault="008118A7" w:rsidP="008118A7">
      <w:pPr>
        <w:jc w:val="both"/>
        <w:rPr>
          <w:rFonts w:ascii="Arial" w:hAnsi="Arial" w:cs="Arial"/>
          <w:b/>
          <w:sz w:val="22"/>
          <w:szCs w:val="22"/>
        </w:rPr>
      </w:pPr>
    </w:p>
    <w:p w:rsidR="008118A7" w:rsidRDefault="008118A7" w:rsidP="008118A7">
      <w:pPr>
        <w:jc w:val="both"/>
        <w:rPr>
          <w:rFonts w:ascii="Arial" w:hAnsi="Arial" w:cs="Arial"/>
          <w:b/>
          <w:sz w:val="22"/>
          <w:szCs w:val="22"/>
        </w:rPr>
      </w:pPr>
    </w:p>
    <w:p w:rsidR="008118A7" w:rsidRDefault="008118A7" w:rsidP="008118A7">
      <w:pPr>
        <w:ind w:left="851" w:hanging="425"/>
        <w:jc w:val="both"/>
        <w:rPr>
          <w:rFonts w:ascii="Arial" w:hAnsi="Arial" w:cs="Arial"/>
          <w:bCs/>
          <w:sz w:val="22"/>
          <w:szCs w:val="22"/>
        </w:rPr>
      </w:pPr>
      <w:r>
        <w:rPr>
          <w:rFonts w:ascii="Arial" w:hAnsi="Arial" w:cs="Arial"/>
          <w:b/>
          <w:sz w:val="22"/>
          <w:szCs w:val="22"/>
        </w:rPr>
        <w:t>b</w:t>
      </w:r>
      <w:r w:rsidRPr="00A8623D">
        <w:rPr>
          <w:rFonts w:ascii="Arial" w:hAnsi="Arial" w:cs="Arial"/>
          <w:b/>
          <w:sz w:val="22"/>
          <w:szCs w:val="22"/>
        </w:rPr>
        <w:t xml:space="preserve">) </w:t>
      </w:r>
      <w:r w:rsidRPr="00A8623D">
        <w:rPr>
          <w:rFonts w:ascii="Arial" w:eastAsia="Cambria" w:hAnsi="Arial" w:cs="Arial"/>
          <w:b/>
          <w:sz w:val="22"/>
          <w:szCs w:val="22"/>
        </w:rPr>
        <w:t xml:space="preserve"> </w:t>
      </w:r>
      <w:r w:rsidRPr="00A8623D">
        <w:rPr>
          <w:rFonts w:ascii="Arial" w:hAnsi="Arial" w:cs="Arial"/>
          <w:bCs/>
          <w:sz w:val="22"/>
          <w:szCs w:val="22"/>
        </w:rPr>
        <w:t>Solicitar a la Administración</w:t>
      </w:r>
      <w:r>
        <w:rPr>
          <w:rFonts w:ascii="Arial" w:hAnsi="Arial" w:cs="Arial"/>
          <w:bCs/>
          <w:sz w:val="22"/>
          <w:szCs w:val="22"/>
        </w:rPr>
        <w:t xml:space="preserve"> que</w:t>
      </w:r>
      <w:r w:rsidRPr="00A8623D">
        <w:rPr>
          <w:rFonts w:ascii="Arial" w:hAnsi="Arial" w:cs="Arial"/>
          <w:bCs/>
          <w:sz w:val="22"/>
          <w:szCs w:val="22"/>
        </w:rPr>
        <w:t xml:space="preserve"> proponga al Consejo Institucional opciones para definir la relación “apoyo academia / actividad académica”. Algunas opciones que pueden valorarse puede ser por número de funcionarios, por tiempos completos equivalentes, por costo del recurso humano</w:t>
      </w:r>
      <w:r>
        <w:rPr>
          <w:rFonts w:ascii="Arial" w:hAnsi="Arial" w:cs="Arial"/>
          <w:bCs/>
          <w:sz w:val="22"/>
          <w:szCs w:val="22"/>
        </w:rPr>
        <w:t>,</w:t>
      </w:r>
      <w:r w:rsidRPr="00A8623D">
        <w:rPr>
          <w:rFonts w:ascii="Arial" w:hAnsi="Arial" w:cs="Arial"/>
          <w:bCs/>
          <w:sz w:val="22"/>
          <w:szCs w:val="22"/>
        </w:rPr>
        <w:t xml:space="preserve"> o cualquier otro que se considere conveniente, con el fin de monitorear el nivel óptimo de esta relación e incluir dicho indicador en el sistema institucional de indicadores de gestión.</w:t>
      </w:r>
    </w:p>
    <w:p w:rsidR="008118A7" w:rsidRDefault="008118A7" w:rsidP="007742A1">
      <w:pPr>
        <w:jc w:val="both"/>
        <w:rPr>
          <w:rFonts w:ascii="Arial" w:eastAsia="Cambria" w:hAnsi="Arial" w:cs="Arial"/>
          <w:lang w:val="es-ES_tradnl" w:eastAsia="en-US"/>
        </w:rPr>
      </w:pPr>
    </w:p>
    <w:p w:rsidR="009912AB" w:rsidRPr="009912AB" w:rsidRDefault="009912AB" w:rsidP="007742A1">
      <w:pPr>
        <w:jc w:val="both"/>
        <w:rPr>
          <w:rFonts w:ascii="Arial" w:eastAsia="Cambria" w:hAnsi="Arial" w:cs="Arial"/>
          <w:lang w:val="es-CR" w:eastAsia="en-US"/>
        </w:rPr>
      </w:pPr>
    </w:p>
    <w:p w:rsidR="00474B22" w:rsidRDefault="007742A1" w:rsidP="00B676D9">
      <w:pPr>
        <w:numPr>
          <w:ilvl w:val="0"/>
          <w:numId w:val="3"/>
        </w:numPr>
        <w:autoSpaceDE w:val="0"/>
        <w:autoSpaceDN w:val="0"/>
        <w:adjustRightInd w:val="0"/>
        <w:jc w:val="both"/>
        <w:rPr>
          <w:rFonts w:ascii="Arial" w:hAnsi="Arial" w:cs="Arial"/>
          <w:b/>
          <w:lang w:val="es-CR"/>
        </w:rPr>
      </w:pPr>
      <w:bookmarkStart w:id="0" w:name="_GoBack"/>
      <w:bookmarkEnd w:id="0"/>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8118A7">
        <w:rPr>
          <w:rFonts w:ascii="Arial" w:hAnsi="Arial" w:cs="Arial"/>
          <w:b/>
          <w:lang w:val="es-CR"/>
        </w:rPr>
        <w:t xml:space="preserve"> </w:t>
      </w:r>
    </w:p>
    <w:p w:rsidR="008118A7" w:rsidRDefault="008118A7" w:rsidP="008118A7">
      <w:pPr>
        <w:ind w:right="-91"/>
        <w:contextualSpacing/>
        <w:jc w:val="both"/>
        <w:rPr>
          <w:rFonts w:ascii="Arial" w:hAnsi="Arial" w:cs="Arial"/>
          <w:b/>
          <w:lang w:val="es-CR"/>
        </w:rPr>
      </w:pPr>
    </w:p>
    <w:p w:rsidR="008118A7" w:rsidRDefault="008118A7" w:rsidP="008118A7">
      <w:pPr>
        <w:ind w:right="-91"/>
        <w:contextualSpacing/>
        <w:jc w:val="both"/>
        <w:rPr>
          <w:rFonts w:ascii="Arial" w:hAnsi="Arial" w:cs="Arial"/>
          <w:b/>
          <w:lang w:val="es-CR"/>
        </w:rPr>
      </w:pPr>
    </w:p>
    <w:p w:rsidR="008118A7" w:rsidRPr="00F23CBC" w:rsidRDefault="008118A7" w:rsidP="008118A7">
      <w:pPr>
        <w:rPr>
          <w:rFonts w:ascii="Arial" w:hAnsi="Arial" w:cs="Arial"/>
          <w:b/>
          <w:i/>
          <w:sz w:val="22"/>
          <w:szCs w:val="22"/>
        </w:rPr>
      </w:pPr>
      <w:r>
        <w:rPr>
          <w:rFonts w:ascii="Arial" w:hAnsi="Arial" w:cs="Arial"/>
          <w:b/>
          <w:i/>
          <w:sz w:val="22"/>
          <w:szCs w:val="22"/>
        </w:rPr>
        <w:t>Palabra clave: Modificar condiciones plazas</w:t>
      </w:r>
      <w:r w:rsidRPr="00F23CBC">
        <w:rPr>
          <w:rFonts w:ascii="Arial" w:hAnsi="Arial" w:cs="Arial"/>
          <w:b/>
          <w:i/>
          <w:sz w:val="22"/>
          <w:szCs w:val="22"/>
        </w:rPr>
        <w:t xml:space="preserve">– Programa – Regionalización -  FS0016 - FS0055 -  FS0081 - FS0111, </w:t>
      </w:r>
    </w:p>
    <w:p w:rsidR="008118A7" w:rsidRDefault="008118A7" w:rsidP="008118A7">
      <w:pPr>
        <w:jc w:val="both"/>
        <w:rPr>
          <w:rFonts w:ascii="Arial" w:hAnsi="Arial" w:cs="Arial"/>
          <w:b/>
          <w:i/>
          <w:sz w:val="22"/>
          <w:szCs w:val="22"/>
        </w:rPr>
      </w:pPr>
    </w:p>
    <w:p w:rsidR="008118A7" w:rsidRPr="008118A7" w:rsidRDefault="008118A7" w:rsidP="008118A7">
      <w:pPr>
        <w:ind w:right="-91"/>
        <w:contextualSpacing/>
        <w:jc w:val="both"/>
        <w:rPr>
          <w:rFonts w:ascii="Arial" w:hAnsi="Arial" w:cs="Arial"/>
          <w:b/>
        </w:rPr>
      </w:pPr>
    </w:p>
    <w:p w:rsidR="008118A7" w:rsidRPr="009912AB" w:rsidRDefault="008118A7" w:rsidP="008118A7">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474B22" w:rsidRDefault="0034046D" w:rsidP="009912AB">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9912AB">
                  <w:pPr>
                    <w:ind w:left="-567" w:firstLine="567"/>
                    <w:jc w:val="both"/>
                    <w:rPr>
                      <w:rFonts w:ascii="Arial" w:eastAsia="Cambria" w:hAnsi="Arial" w:cs="Arial"/>
                      <w:b/>
                      <w:sz w:val="16"/>
                      <w:szCs w:val="16"/>
                      <w:lang w:val="es-ES_tradnl" w:eastAsia="en-US"/>
                    </w:rPr>
                  </w:pPr>
                </w:p>
                <w:p w:rsidR="00CC363D" w:rsidRDefault="00CC363D" w:rsidP="009912AB">
                  <w:pPr>
                    <w:ind w:left="-567" w:firstLine="567"/>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p w:rsidR="00CC363D" w:rsidRDefault="00CC363D"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C47103" w:rsidRDefault="00C47103"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9912AB">
                  <w:pPr>
                    <w:rPr>
                      <w:rFonts w:ascii="Arial" w:eastAsia="Cambria" w:hAnsi="Arial" w:cs="Arial"/>
                      <w:b/>
                      <w:sz w:val="16"/>
                      <w:szCs w:val="16"/>
                      <w:lang w:val="es-CR" w:eastAsia="en-US"/>
                    </w:rPr>
                  </w:pPr>
                  <w:r>
                    <w:rPr>
                      <w:rFonts w:ascii="Arial" w:eastAsia="Cambria" w:hAnsi="Arial" w:cs="Arial"/>
                      <w:b/>
                      <w:sz w:val="16"/>
                      <w:szCs w:val="16"/>
                      <w:lang w:val="es-CR" w:eastAsia="en-US"/>
                    </w:rPr>
                    <w:t>FEITEC</w:t>
                  </w:r>
                </w:p>
                <w:p w:rsidR="00CC363D" w:rsidRDefault="00CC363D" w:rsidP="009912AB">
                  <w:pPr>
                    <w:rPr>
                      <w:rFonts w:ascii="Arial" w:eastAsia="Cambria" w:hAnsi="Arial" w:cs="Arial"/>
                      <w:b/>
                      <w:sz w:val="16"/>
                      <w:szCs w:val="16"/>
                      <w:lang w:val="es-CR"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2F" w:rsidRDefault="00A53D2F">
      <w:r>
        <w:separator/>
      </w:r>
    </w:p>
  </w:endnote>
  <w:endnote w:type="continuationSeparator" w:id="0">
    <w:p w:rsidR="00A53D2F" w:rsidRDefault="00A5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2F" w:rsidRDefault="00A53D2F">
      <w:r>
        <w:separator/>
      </w:r>
    </w:p>
  </w:footnote>
  <w:footnote w:type="continuationSeparator" w:id="0">
    <w:p w:rsidR="00A53D2F" w:rsidRDefault="00A5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8118A7">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8118A7">
      <w:rPr>
        <w:rFonts w:ascii="Arial" w:eastAsia="Cambria" w:hAnsi="Arial" w:cs="Arial"/>
        <w:i/>
        <w:sz w:val="18"/>
        <w:szCs w:val="18"/>
        <w:lang w:val="es-ES_tradnl" w:eastAsia="x-none"/>
      </w:rPr>
      <w:t>3</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118A7">
      <w:rPr>
        <w:rFonts w:ascii="Arial" w:eastAsia="Cambria" w:hAnsi="Arial" w:cs="Arial"/>
        <w:i/>
        <w:sz w:val="18"/>
        <w:szCs w:val="18"/>
        <w:lang w:val="es-ES_tradnl" w:eastAsia="x-none"/>
      </w:rPr>
      <w:t>31</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676D9">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B6A63FF"/>
    <w:multiLevelType w:val="hybridMultilevel"/>
    <w:tmpl w:val="EEB6421A"/>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45F5132F"/>
    <w:multiLevelType w:val="hybridMultilevel"/>
    <w:tmpl w:val="75BE872E"/>
    <w:lvl w:ilvl="0" w:tplc="629ED23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9957902"/>
    <w:multiLevelType w:val="hybridMultilevel"/>
    <w:tmpl w:val="AC2A51B0"/>
    <w:lvl w:ilvl="0" w:tplc="C950A096">
      <w:start w:val="1"/>
      <w:numFmt w:val="decimal"/>
      <w:lvlText w:val="%1."/>
      <w:lvlJc w:val="left"/>
      <w:pPr>
        <w:ind w:left="360" w:hanging="360"/>
      </w:pPr>
      <w:rPr>
        <w:rFonts w:ascii="Arial" w:hAnsi="Arial" w:cs="Arial" w:hint="default"/>
        <w:b/>
        <w:i w:val="0"/>
        <w:color w:val="auto"/>
        <w:sz w:val="24"/>
        <w:szCs w:val="24"/>
      </w:rPr>
    </w:lvl>
    <w:lvl w:ilvl="1" w:tplc="140A0001">
      <w:start w:val="1"/>
      <w:numFmt w:val="bullet"/>
      <w:lvlText w:val=""/>
      <w:lvlJc w:val="left"/>
      <w:pPr>
        <w:ind w:left="1440" w:hanging="360"/>
      </w:pPr>
      <w:rPr>
        <w:rFonts w:ascii="Symbol" w:hAnsi="Symbol" w:hint="default"/>
      </w:rPr>
    </w:lvl>
    <w:lvl w:ilvl="2" w:tplc="634CBB36">
      <w:numFmt w:val="bullet"/>
      <w:lvlText w:val="•"/>
      <w:lvlJc w:val="left"/>
      <w:pPr>
        <w:ind w:left="2340" w:hanging="360"/>
      </w:pPr>
      <w:rPr>
        <w:rFonts w:ascii="Arial" w:eastAsia="Times New Roman" w:hAnsi="Arial" w:cs="Aria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9786C3A"/>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num w:numId="1">
    <w:abstractNumId w:val="0"/>
  </w:num>
  <w:num w:numId="2">
    <w:abstractNumId w:val="1"/>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0DB6"/>
    <w:rsid w:val="005E4831"/>
    <w:rsid w:val="005E6C5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2C78"/>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0CE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18A7"/>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3D2F"/>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E72C5"/>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676D9"/>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103"/>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8017-99EE-47E3-B32E-47139787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1693</Words>
  <Characters>9314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91</cp:revision>
  <cp:lastPrinted>2017-05-10T19:33:00Z</cp:lastPrinted>
  <dcterms:created xsi:type="dcterms:W3CDTF">2016-10-05T20:00:00Z</dcterms:created>
  <dcterms:modified xsi:type="dcterms:W3CDTF">2017-06-02T15:47:00Z</dcterms:modified>
</cp:coreProperties>
</file>