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FA370C">
        <w:rPr>
          <w:rFonts w:ascii="Arial" w:hAnsi="Arial" w:cs="Arial"/>
          <w:b/>
          <w:bCs/>
          <w:iCs/>
          <w:sz w:val="26"/>
          <w:szCs w:val="22"/>
          <w:lang w:val="es-CR"/>
        </w:rPr>
        <w:t>172</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FA370C" w:rsidRDefault="00FA370C"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MBA. Harold Blanco, Director Departamento Recursos Humanos </w:t>
            </w:r>
          </w:p>
          <w:p w:rsidR="00FA370C" w:rsidRDefault="00FA370C" w:rsidP="00337455">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Karla Garita, Directora Oficina Comunicación y Mercadeo</w:t>
            </w:r>
          </w:p>
          <w:p w:rsidR="00FA370C" w:rsidRDefault="00FA370C"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Directora Oficina de Planificación Institucional</w:t>
            </w:r>
          </w:p>
          <w:p w:rsidR="005D234B" w:rsidRPr="006B4FBB" w:rsidRDefault="0047360D" w:rsidP="0047360D">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2D2C7C" w:rsidP="0045318C">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45318C">
              <w:rPr>
                <w:rFonts w:ascii="Arial" w:eastAsia="Cambria" w:hAnsi="Arial" w:cs="Arial"/>
                <w:b/>
                <w:sz w:val="22"/>
                <w:szCs w:val="22"/>
                <w:lang w:val="es-ES_tradnl" w:eastAsia="en-US"/>
              </w:rPr>
              <w:t>9</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6442DF">
              <w:rPr>
                <w:rFonts w:ascii="Arial" w:eastAsia="Cambria" w:hAnsi="Arial" w:cs="Arial"/>
                <w:b/>
                <w:sz w:val="22"/>
                <w:szCs w:val="22"/>
                <w:lang w:val="es-ES_tradnl" w:eastAsia="en-US"/>
              </w:rPr>
              <w:t>marzo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2D2C7C" w:rsidRDefault="007742A1" w:rsidP="0045318C">
            <w:pPr>
              <w:ind w:left="-74"/>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6442DF">
              <w:rPr>
                <w:rFonts w:ascii="Arial" w:eastAsia="Calibri" w:hAnsi="Arial" w:cs="Arial"/>
                <w:b/>
                <w:sz w:val="22"/>
                <w:szCs w:val="22"/>
              </w:rPr>
              <w:t>1</w:t>
            </w:r>
            <w:r w:rsidR="0045318C">
              <w:rPr>
                <w:rFonts w:ascii="Arial" w:eastAsia="Calibri" w:hAnsi="Arial" w:cs="Arial"/>
                <w:b/>
                <w:sz w:val="22"/>
                <w:szCs w:val="22"/>
              </w:rPr>
              <w:t>6</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1E08C0">
              <w:rPr>
                <w:rFonts w:ascii="Arial" w:eastAsia="Calibri" w:hAnsi="Arial" w:cs="Arial"/>
                <w:b/>
                <w:sz w:val="22"/>
                <w:szCs w:val="22"/>
              </w:rPr>
              <w:t>1</w:t>
            </w:r>
            <w:r w:rsidR="00FA370C">
              <w:rPr>
                <w:rFonts w:ascii="Arial" w:eastAsia="Calibri" w:hAnsi="Arial" w:cs="Arial"/>
                <w:b/>
                <w:sz w:val="22"/>
                <w:szCs w:val="22"/>
              </w:rPr>
              <w:t>4</w:t>
            </w:r>
            <w:bookmarkStart w:id="0" w:name="_GoBack"/>
            <w:bookmarkEnd w:id="0"/>
            <w:r w:rsidR="00337455">
              <w:rPr>
                <w:rFonts w:ascii="Arial" w:eastAsia="Calibri" w:hAnsi="Arial" w:cs="Arial"/>
                <w:b/>
                <w:sz w:val="22"/>
                <w:szCs w:val="22"/>
              </w:rPr>
              <w:t>,</w:t>
            </w:r>
            <w:r w:rsidRPr="00D958BC">
              <w:rPr>
                <w:rFonts w:ascii="Arial" w:eastAsia="Calibri" w:hAnsi="Arial" w:cs="Arial"/>
                <w:b/>
                <w:sz w:val="22"/>
                <w:szCs w:val="22"/>
              </w:rPr>
              <w:t xml:space="preserve"> del </w:t>
            </w:r>
            <w:r w:rsidR="00803BB3">
              <w:rPr>
                <w:rFonts w:ascii="Arial" w:eastAsia="Calibri" w:hAnsi="Arial" w:cs="Arial"/>
                <w:b/>
                <w:sz w:val="22"/>
                <w:szCs w:val="22"/>
              </w:rPr>
              <w:t>2</w:t>
            </w:r>
            <w:r w:rsidR="0045318C">
              <w:rPr>
                <w:rFonts w:ascii="Arial" w:eastAsia="Calibri" w:hAnsi="Arial" w:cs="Arial"/>
                <w:b/>
                <w:sz w:val="22"/>
                <w:szCs w:val="22"/>
              </w:rPr>
              <w:t>9</w:t>
            </w:r>
            <w:r w:rsidRPr="00D958BC">
              <w:rPr>
                <w:rFonts w:ascii="Arial" w:eastAsia="Calibri" w:hAnsi="Arial" w:cs="Arial"/>
                <w:b/>
                <w:sz w:val="22"/>
                <w:szCs w:val="22"/>
              </w:rPr>
              <w:t xml:space="preserve"> de </w:t>
            </w:r>
            <w:r w:rsidR="006442DF">
              <w:rPr>
                <w:rFonts w:ascii="Arial" w:eastAsia="Calibri" w:hAnsi="Arial" w:cs="Arial"/>
                <w:b/>
                <w:sz w:val="22"/>
                <w:szCs w:val="22"/>
              </w:rPr>
              <w:t>marzo</w:t>
            </w:r>
            <w:r w:rsidR="00A772EF">
              <w:rPr>
                <w:rFonts w:ascii="Arial" w:eastAsia="Calibri" w:hAnsi="Arial" w:cs="Arial"/>
                <w:b/>
                <w:sz w:val="22"/>
                <w:szCs w:val="22"/>
              </w:rPr>
              <w:t xml:space="preserve"> de 2017</w:t>
            </w:r>
            <w:r w:rsidR="001E08C0">
              <w:rPr>
                <w:rFonts w:ascii="Arial" w:eastAsia="Calibri" w:hAnsi="Arial" w:cs="Arial"/>
                <w:b/>
                <w:sz w:val="22"/>
                <w:szCs w:val="22"/>
              </w:rPr>
              <w:t xml:space="preserve">.  </w:t>
            </w:r>
            <w:r w:rsidR="0045318C">
              <w:rPr>
                <w:rFonts w:ascii="Arial" w:eastAsia="Calibri" w:hAnsi="Arial" w:cs="Arial"/>
                <w:b/>
                <w:sz w:val="22"/>
                <w:szCs w:val="22"/>
              </w:rPr>
              <w:t>Modificación de las características de la Plaza CF2877, Profesional en Comunicación, Categoría 23, a Profesional en Administración, Categoría 23, destacada en la Oficina de Comunicación y Mercadeo</w:t>
            </w:r>
          </w:p>
          <w:p w:rsidR="0045318C" w:rsidRDefault="0045318C" w:rsidP="0045318C">
            <w:pPr>
              <w:ind w:left="-74"/>
              <w:jc w:val="both"/>
              <w:rPr>
                <w:rFonts w:ascii="Arial" w:eastAsia="Calibri" w:hAnsi="Arial" w:cs="Arial"/>
                <w:b/>
                <w:sz w:val="22"/>
                <w:szCs w:val="22"/>
              </w:rPr>
            </w:pPr>
          </w:p>
          <w:p w:rsidR="0045318C" w:rsidRPr="0047360D" w:rsidRDefault="0045318C" w:rsidP="0045318C">
            <w:pPr>
              <w:ind w:left="-74"/>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03BB3" w:rsidRDefault="00803BB3" w:rsidP="00803BB3">
      <w:pPr>
        <w:ind w:right="-91"/>
        <w:jc w:val="both"/>
        <w:rPr>
          <w:rFonts w:ascii="Arial" w:hAnsi="Arial" w:cs="Arial"/>
        </w:rPr>
      </w:pPr>
    </w:p>
    <w:p w:rsidR="00FA370C" w:rsidRPr="00FA370C" w:rsidRDefault="00FA370C" w:rsidP="00FA370C">
      <w:pPr>
        <w:contextualSpacing/>
        <w:jc w:val="both"/>
        <w:outlineLvl w:val="0"/>
        <w:rPr>
          <w:rFonts w:ascii="Arial" w:hAnsi="Arial" w:cs="Arial"/>
          <w:b/>
          <w:lang w:val="es-CR"/>
        </w:rPr>
      </w:pPr>
      <w:r w:rsidRPr="00FA370C">
        <w:rPr>
          <w:rFonts w:ascii="Arial" w:hAnsi="Arial" w:cs="Arial"/>
          <w:b/>
          <w:lang w:val="es-CR"/>
        </w:rPr>
        <w:t>RESULTANDO QUE:</w:t>
      </w:r>
    </w:p>
    <w:p w:rsidR="00FA370C" w:rsidRPr="00FA370C" w:rsidRDefault="00FA370C" w:rsidP="00FA370C">
      <w:pPr>
        <w:ind w:left="1320" w:hanging="1320"/>
        <w:jc w:val="both"/>
        <w:rPr>
          <w:rFonts w:ascii="Arial" w:hAnsi="Arial" w:cs="Arial"/>
          <w:lang w:val="es-CR"/>
        </w:rPr>
      </w:pPr>
    </w:p>
    <w:p w:rsidR="00FA370C" w:rsidRPr="00FA370C" w:rsidRDefault="00FA370C" w:rsidP="00FA370C">
      <w:pPr>
        <w:numPr>
          <w:ilvl w:val="0"/>
          <w:numId w:val="30"/>
        </w:numPr>
        <w:tabs>
          <w:tab w:val="left" w:pos="426"/>
        </w:tabs>
        <w:ind w:left="426" w:hanging="426"/>
        <w:contextualSpacing/>
        <w:jc w:val="both"/>
        <w:rPr>
          <w:rFonts w:ascii="Arial" w:hAnsi="Arial" w:cs="Arial"/>
          <w:lang w:eastAsia="es-CR"/>
        </w:rPr>
      </w:pPr>
      <w:r w:rsidRPr="00FA370C">
        <w:rPr>
          <w:rFonts w:ascii="Arial" w:hAnsi="Arial" w:cs="Arial"/>
          <w:lang w:eastAsia="es-CR"/>
        </w:rPr>
        <w:t>El Artículo 21, del Reglamento del Consejo Institucional, reza:</w:t>
      </w:r>
    </w:p>
    <w:p w:rsidR="00FA370C" w:rsidRPr="00FA370C" w:rsidRDefault="00FA370C" w:rsidP="00FA370C">
      <w:pPr>
        <w:jc w:val="both"/>
        <w:rPr>
          <w:rFonts w:ascii="Arial" w:eastAsia="Calibri" w:hAnsi="Arial" w:cs="Arial"/>
          <w:b/>
          <w:sz w:val="20"/>
          <w:szCs w:val="20"/>
          <w:lang w:val="es-CR"/>
        </w:rPr>
      </w:pPr>
    </w:p>
    <w:p w:rsidR="00FA370C" w:rsidRPr="00FA370C" w:rsidRDefault="00FA370C" w:rsidP="00FA370C">
      <w:pPr>
        <w:ind w:left="720" w:right="417"/>
        <w:jc w:val="both"/>
        <w:rPr>
          <w:rFonts w:ascii="Arial" w:hAnsi="Arial" w:cs="Arial"/>
          <w:i/>
          <w:sz w:val="22"/>
          <w:szCs w:val="22"/>
          <w:lang w:val="es-CR" w:eastAsia="es-CR"/>
        </w:rPr>
      </w:pPr>
      <w:r w:rsidRPr="00FA370C">
        <w:rPr>
          <w:rFonts w:ascii="Arial" w:hAnsi="Arial" w:cs="Arial"/>
          <w:i/>
          <w:sz w:val="22"/>
          <w:szCs w:val="22"/>
          <w:lang w:val="es-CR" w:eastAsia="es-CR"/>
        </w:rPr>
        <w:t xml:space="preserve">“Son asuntos propios del análisis y dictamen de la Comisión de Planificación y Administración según su competencia los siguientes: </w:t>
      </w:r>
    </w:p>
    <w:p w:rsidR="00FA370C" w:rsidRPr="00FA370C" w:rsidRDefault="00FA370C" w:rsidP="00FA370C">
      <w:pPr>
        <w:ind w:left="720" w:right="417"/>
        <w:jc w:val="both"/>
        <w:rPr>
          <w:rFonts w:ascii="Arial" w:hAnsi="Arial" w:cs="Arial"/>
          <w:i/>
          <w:sz w:val="22"/>
          <w:szCs w:val="22"/>
          <w:lang w:val="es-CR" w:eastAsia="es-CR"/>
        </w:rPr>
      </w:pPr>
      <w:r w:rsidRPr="00FA370C">
        <w:rPr>
          <w:rFonts w:ascii="Arial" w:hAnsi="Arial" w:cs="Arial"/>
          <w:i/>
          <w:sz w:val="22"/>
          <w:szCs w:val="22"/>
          <w:lang w:val="es-CR" w:eastAsia="es-CR"/>
        </w:rPr>
        <w:t xml:space="preserve">… </w:t>
      </w:r>
    </w:p>
    <w:p w:rsidR="00FA370C" w:rsidRPr="00FA370C" w:rsidRDefault="00FA370C" w:rsidP="00FA370C">
      <w:pPr>
        <w:ind w:left="1022" w:right="417" w:hanging="302"/>
        <w:jc w:val="both"/>
        <w:rPr>
          <w:rFonts w:ascii="Arial" w:hAnsi="Arial" w:cs="Arial"/>
          <w:i/>
          <w:sz w:val="22"/>
          <w:szCs w:val="22"/>
          <w:lang w:val="es-CR" w:eastAsia="es-CR"/>
        </w:rPr>
      </w:pPr>
      <w:r w:rsidRPr="00FA370C">
        <w:rPr>
          <w:rFonts w:ascii="Arial" w:hAnsi="Arial" w:cs="Arial"/>
          <w:i/>
          <w:sz w:val="22"/>
          <w:szCs w:val="22"/>
          <w:lang w:val="es-CR" w:eastAsia="es-CR"/>
        </w:rPr>
        <w:t>c. La creación, modificación y eliminación de plazas.”…</w:t>
      </w:r>
    </w:p>
    <w:p w:rsidR="00FA370C" w:rsidRPr="00FA370C" w:rsidRDefault="00FA370C" w:rsidP="00FA370C">
      <w:pPr>
        <w:jc w:val="both"/>
        <w:rPr>
          <w:rFonts w:ascii="Arial" w:eastAsia="Calibri" w:hAnsi="Arial" w:cs="Arial"/>
          <w:b/>
          <w:sz w:val="20"/>
          <w:szCs w:val="20"/>
          <w:lang w:val="es-CR"/>
        </w:rPr>
      </w:pPr>
    </w:p>
    <w:p w:rsidR="00FA370C" w:rsidRPr="00FA370C" w:rsidRDefault="00FA370C" w:rsidP="00FA370C">
      <w:pPr>
        <w:numPr>
          <w:ilvl w:val="0"/>
          <w:numId w:val="30"/>
        </w:numPr>
        <w:tabs>
          <w:tab w:val="left" w:pos="426"/>
        </w:tabs>
        <w:ind w:left="426" w:hanging="426"/>
        <w:contextualSpacing/>
        <w:jc w:val="both"/>
        <w:rPr>
          <w:rFonts w:ascii="Arial" w:hAnsi="Arial" w:cs="Arial"/>
          <w:lang w:val="es-CR"/>
        </w:rPr>
      </w:pPr>
      <w:r w:rsidRPr="00FA370C">
        <w:rPr>
          <w:rFonts w:ascii="Arial" w:hAnsi="Arial" w:cs="Arial"/>
          <w:lang w:val="es-CR"/>
        </w:rPr>
        <w:t>El Consejo Institucional en Sesión Ordinaria No. 2989 Artículo 7 del 14 de setiembre de 2016  aprobó la “Renovación y Reconversión de Plazas 2017, Fondos FEES”  entre las cuales está la plaza CF-2877, con las siguientes características:</w:t>
      </w:r>
    </w:p>
    <w:p w:rsidR="00FA370C" w:rsidRPr="00FA370C" w:rsidRDefault="00FA370C" w:rsidP="00FA370C">
      <w:pPr>
        <w:jc w:val="both"/>
        <w:rPr>
          <w:rFonts w:ascii="Arial" w:hAnsi="Arial" w:cs="Arial"/>
          <w:lang w:val="es-CR"/>
        </w:rPr>
      </w:pPr>
    </w:p>
    <w:tbl>
      <w:tblPr>
        <w:tblW w:w="10132" w:type="dxa"/>
        <w:tblInd w:w="-356" w:type="dxa"/>
        <w:tblLayout w:type="fixed"/>
        <w:tblCellMar>
          <w:left w:w="70" w:type="dxa"/>
          <w:right w:w="70" w:type="dxa"/>
        </w:tblCellMar>
        <w:tblLook w:val="04A0" w:firstRow="1" w:lastRow="0" w:firstColumn="1" w:lastColumn="0" w:noHBand="0" w:noVBand="1"/>
      </w:tblPr>
      <w:tblGrid>
        <w:gridCol w:w="468"/>
        <w:gridCol w:w="8"/>
        <w:gridCol w:w="517"/>
        <w:gridCol w:w="709"/>
        <w:gridCol w:w="709"/>
        <w:gridCol w:w="1417"/>
        <w:gridCol w:w="567"/>
        <w:gridCol w:w="567"/>
        <w:gridCol w:w="567"/>
        <w:gridCol w:w="567"/>
        <w:gridCol w:w="1134"/>
        <w:gridCol w:w="1418"/>
        <w:gridCol w:w="1484"/>
      </w:tblGrid>
      <w:tr w:rsidR="00FA370C" w:rsidRPr="00FA370C" w:rsidTr="00654BD8">
        <w:trPr>
          <w:trHeight w:val="768"/>
          <w:tblHeader/>
        </w:trPr>
        <w:tc>
          <w:tcPr>
            <w:tcW w:w="476"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rsidR="00FA370C" w:rsidRPr="00FA370C" w:rsidRDefault="00FA370C" w:rsidP="00FA370C">
            <w:pPr>
              <w:jc w:val="center"/>
              <w:rPr>
                <w:rFonts w:ascii="Calibri" w:hAnsi="Calibri"/>
                <w:b/>
                <w:bCs/>
                <w:color w:val="FFFFFF"/>
                <w:sz w:val="18"/>
                <w:szCs w:val="18"/>
                <w:lang w:val="es-CR" w:eastAsia="es-CR"/>
              </w:rPr>
            </w:pPr>
            <w:r w:rsidRPr="00FA370C">
              <w:rPr>
                <w:rFonts w:ascii="Calibri" w:hAnsi="Calibri"/>
                <w:b/>
                <w:bCs/>
                <w:color w:val="FFFFFF"/>
                <w:sz w:val="18"/>
                <w:szCs w:val="18"/>
                <w:lang w:val="es-CR" w:eastAsia="es-CR"/>
              </w:rPr>
              <w:t>#</w:t>
            </w:r>
          </w:p>
        </w:tc>
        <w:tc>
          <w:tcPr>
            <w:tcW w:w="517" w:type="dxa"/>
            <w:tcBorders>
              <w:top w:val="single" w:sz="4" w:space="0" w:color="auto"/>
              <w:left w:val="nil"/>
              <w:bottom w:val="single" w:sz="4" w:space="0" w:color="auto"/>
              <w:right w:val="single" w:sz="4" w:space="0" w:color="auto"/>
            </w:tcBorders>
            <w:shd w:val="clear" w:color="auto" w:fill="0070C0"/>
            <w:textDirection w:val="btLr"/>
            <w:vAlign w:val="center"/>
            <w:hideMark/>
          </w:tcPr>
          <w:p w:rsidR="00FA370C" w:rsidRPr="00FA370C" w:rsidRDefault="00FA370C" w:rsidP="00FA370C">
            <w:pPr>
              <w:jc w:val="center"/>
              <w:rPr>
                <w:rFonts w:ascii="Calibri" w:hAnsi="Calibri"/>
                <w:b/>
                <w:bCs/>
                <w:color w:val="FFFFFF"/>
                <w:sz w:val="18"/>
                <w:szCs w:val="18"/>
                <w:lang w:val="es-CR" w:eastAsia="es-CR"/>
              </w:rPr>
            </w:pPr>
            <w:r w:rsidRPr="00FA370C">
              <w:rPr>
                <w:rFonts w:ascii="Calibri" w:hAnsi="Calibri"/>
                <w:b/>
                <w:bCs/>
                <w:color w:val="FFFFFF"/>
                <w:sz w:val="18"/>
                <w:szCs w:val="18"/>
                <w:lang w:val="es-CR" w:eastAsia="es-CR"/>
              </w:rPr>
              <w:t>Programa</w:t>
            </w:r>
          </w:p>
        </w:tc>
        <w:tc>
          <w:tcPr>
            <w:tcW w:w="709" w:type="dxa"/>
            <w:tcBorders>
              <w:top w:val="single" w:sz="4" w:space="0" w:color="auto"/>
              <w:left w:val="nil"/>
              <w:bottom w:val="single" w:sz="4" w:space="0" w:color="auto"/>
              <w:right w:val="single" w:sz="4" w:space="0" w:color="auto"/>
            </w:tcBorders>
            <w:shd w:val="clear" w:color="auto" w:fill="0070C0"/>
            <w:vAlign w:val="center"/>
            <w:hideMark/>
          </w:tcPr>
          <w:p w:rsidR="00FA370C" w:rsidRPr="00FA370C" w:rsidRDefault="00FA370C" w:rsidP="00FA370C">
            <w:pPr>
              <w:jc w:val="center"/>
              <w:rPr>
                <w:rFonts w:ascii="Calibri" w:hAnsi="Calibri"/>
                <w:b/>
                <w:bCs/>
                <w:color w:val="FFFFFF"/>
                <w:sz w:val="18"/>
                <w:szCs w:val="18"/>
                <w:lang w:val="es-CR" w:eastAsia="es-CR"/>
              </w:rPr>
            </w:pPr>
            <w:r w:rsidRPr="00FA370C">
              <w:rPr>
                <w:rFonts w:ascii="Calibri" w:hAnsi="Calibri"/>
                <w:b/>
                <w:bCs/>
                <w:color w:val="FFFFFF"/>
                <w:sz w:val="18"/>
                <w:szCs w:val="18"/>
                <w:lang w:val="es-CR" w:eastAsia="es-CR"/>
              </w:rPr>
              <w:t>Actual</w:t>
            </w:r>
            <w:r w:rsidRPr="00FA370C">
              <w:rPr>
                <w:rFonts w:ascii="Calibri" w:hAnsi="Calibri"/>
                <w:b/>
                <w:bCs/>
                <w:color w:val="FFFFFF"/>
                <w:sz w:val="18"/>
                <w:szCs w:val="18"/>
                <w:lang w:val="es-CR" w:eastAsia="es-CR"/>
              </w:rPr>
              <w:br/>
              <w:t xml:space="preserve">Cód. plaza </w:t>
            </w:r>
          </w:p>
        </w:tc>
        <w:tc>
          <w:tcPr>
            <w:tcW w:w="709" w:type="dxa"/>
            <w:tcBorders>
              <w:top w:val="single" w:sz="4" w:space="0" w:color="auto"/>
              <w:left w:val="nil"/>
              <w:bottom w:val="single" w:sz="4" w:space="0" w:color="auto"/>
              <w:right w:val="single" w:sz="4" w:space="0" w:color="auto"/>
            </w:tcBorders>
            <w:shd w:val="clear" w:color="auto" w:fill="0070C0"/>
            <w:vAlign w:val="center"/>
            <w:hideMark/>
          </w:tcPr>
          <w:p w:rsidR="00FA370C" w:rsidRPr="00FA370C" w:rsidRDefault="00FA370C" w:rsidP="00FA370C">
            <w:pPr>
              <w:jc w:val="center"/>
              <w:rPr>
                <w:rFonts w:ascii="Calibri" w:hAnsi="Calibri"/>
                <w:b/>
                <w:bCs/>
                <w:color w:val="FFFFFF"/>
                <w:sz w:val="18"/>
                <w:szCs w:val="18"/>
                <w:lang w:val="es-CR" w:eastAsia="es-CR"/>
              </w:rPr>
            </w:pPr>
            <w:r w:rsidRPr="00FA370C">
              <w:rPr>
                <w:rFonts w:ascii="Calibri" w:hAnsi="Calibri"/>
                <w:b/>
                <w:bCs/>
                <w:color w:val="FFFFFF"/>
                <w:sz w:val="18"/>
                <w:szCs w:val="18"/>
                <w:lang w:val="es-CR" w:eastAsia="es-CR"/>
              </w:rPr>
              <w:t>Nuevo</w:t>
            </w:r>
            <w:r w:rsidRPr="00FA370C">
              <w:rPr>
                <w:rFonts w:ascii="Calibri" w:hAnsi="Calibri"/>
                <w:b/>
                <w:bCs/>
                <w:color w:val="FFFFFF"/>
                <w:sz w:val="18"/>
                <w:szCs w:val="18"/>
                <w:lang w:val="es-CR" w:eastAsia="es-CR"/>
              </w:rPr>
              <w:br/>
              <w:t xml:space="preserve">Cód. plaza </w:t>
            </w:r>
          </w:p>
        </w:tc>
        <w:tc>
          <w:tcPr>
            <w:tcW w:w="1417" w:type="dxa"/>
            <w:tcBorders>
              <w:top w:val="single" w:sz="4" w:space="0" w:color="auto"/>
              <w:left w:val="nil"/>
              <w:bottom w:val="single" w:sz="4" w:space="0" w:color="auto"/>
              <w:right w:val="single" w:sz="4" w:space="0" w:color="auto"/>
            </w:tcBorders>
            <w:shd w:val="clear" w:color="auto" w:fill="0070C0"/>
            <w:vAlign w:val="center"/>
            <w:hideMark/>
          </w:tcPr>
          <w:p w:rsidR="00FA370C" w:rsidRPr="00FA370C" w:rsidRDefault="00FA370C" w:rsidP="00FA370C">
            <w:pPr>
              <w:jc w:val="center"/>
              <w:rPr>
                <w:rFonts w:ascii="Calibri" w:hAnsi="Calibri"/>
                <w:b/>
                <w:bCs/>
                <w:color w:val="FFFFFF"/>
                <w:sz w:val="18"/>
                <w:szCs w:val="18"/>
                <w:lang w:val="es-CR" w:eastAsia="es-CR"/>
              </w:rPr>
            </w:pPr>
            <w:r w:rsidRPr="00FA370C">
              <w:rPr>
                <w:rFonts w:ascii="Calibri" w:hAnsi="Calibri"/>
                <w:b/>
                <w:bCs/>
                <w:color w:val="FFFFFF"/>
                <w:sz w:val="18"/>
                <w:szCs w:val="18"/>
                <w:lang w:val="es-CR" w:eastAsia="es-CR"/>
              </w:rPr>
              <w:t>Puesto</w:t>
            </w:r>
          </w:p>
        </w:tc>
        <w:tc>
          <w:tcPr>
            <w:tcW w:w="567" w:type="dxa"/>
            <w:tcBorders>
              <w:top w:val="single" w:sz="4" w:space="0" w:color="auto"/>
              <w:left w:val="nil"/>
              <w:bottom w:val="single" w:sz="4" w:space="0" w:color="auto"/>
              <w:right w:val="single" w:sz="4" w:space="0" w:color="auto"/>
            </w:tcBorders>
            <w:shd w:val="clear" w:color="auto" w:fill="0070C0"/>
            <w:textDirection w:val="btLr"/>
            <w:vAlign w:val="center"/>
            <w:hideMark/>
          </w:tcPr>
          <w:p w:rsidR="00FA370C" w:rsidRPr="00FA370C" w:rsidRDefault="00FA370C" w:rsidP="00FA370C">
            <w:pPr>
              <w:jc w:val="center"/>
              <w:rPr>
                <w:rFonts w:ascii="Calibri" w:hAnsi="Calibri"/>
                <w:b/>
                <w:bCs/>
                <w:color w:val="FFFFFF"/>
                <w:sz w:val="18"/>
                <w:szCs w:val="18"/>
                <w:lang w:val="es-CR" w:eastAsia="es-CR"/>
              </w:rPr>
            </w:pPr>
            <w:r w:rsidRPr="00FA370C">
              <w:rPr>
                <w:rFonts w:ascii="Calibri" w:hAnsi="Calibri"/>
                <w:b/>
                <w:bCs/>
                <w:color w:val="FFFFFF"/>
                <w:sz w:val="18"/>
                <w:szCs w:val="18"/>
                <w:lang w:val="es-CR" w:eastAsia="es-CR"/>
              </w:rPr>
              <w:t>Categoría</w:t>
            </w:r>
          </w:p>
        </w:tc>
        <w:tc>
          <w:tcPr>
            <w:tcW w:w="567" w:type="dxa"/>
            <w:tcBorders>
              <w:top w:val="single" w:sz="4" w:space="0" w:color="auto"/>
              <w:left w:val="nil"/>
              <w:bottom w:val="single" w:sz="4" w:space="0" w:color="auto"/>
              <w:right w:val="single" w:sz="4" w:space="0" w:color="auto"/>
            </w:tcBorders>
            <w:shd w:val="clear" w:color="auto" w:fill="0070C0"/>
            <w:textDirection w:val="btLr"/>
            <w:vAlign w:val="center"/>
            <w:hideMark/>
          </w:tcPr>
          <w:p w:rsidR="00FA370C" w:rsidRPr="00FA370C" w:rsidRDefault="00FA370C" w:rsidP="00FA370C">
            <w:pPr>
              <w:jc w:val="center"/>
              <w:rPr>
                <w:rFonts w:ascii="Calibri" w:hAnsi="Calibri"/>
                <w:b/>
                <w:bCs/>
                <w:color w:val="FFFFFF"/>
                <w:sz w:val="18"/>
                <w:szCs w:val="18"/>
                <w:lang w:val="es-CR" w:eastAsia="es-CR"/>
              </w:rPr>
            </w:pPr>
            <w:r w:rsidRPr="00FA370C">
              <w:rPr>
                <w:rFonts w:ascii="Calibri" w:hAnsi="Calibri"/>
                <w:b/>
                <w:bCs/>
                <w:color w:val="FFFFFF"/>
                <w:sz w:val="18"/>
                <w:szCs w:val="18"/>
                <w:lang w:val="es-CR" w:eastAsia="es-CR"/>
              </w:rPr>
              <w:t>Jornada</w:t>
            </w:r>
          </w:p>
        </w:tc>
        <w:tc>
          <w:tcPr>
            <w:tcW w:w="567" w:type="dxa"/>
            <w:tcBorders>
              <w:top w:val="single" w:sz="4" w:space="0" w:color="auto"/>
              <w:left w:val="nil"/>
              <w:bottom w:val="single" w:sz="4" w:space="0" w:color="auto"/>
              <w:right w:val="single" w:sz="4" w:space="0" w:color="auto"/>
            </w:tcBorders>
            <w:shd w:val="clear" w:color="auto" w:fill="0070C0"/>
            <w:textDirection w:val="btLr"/>
            <w:vAlign w:val="center"/>
            <w:hideMark/>
          </w:tcPr>
          <w:p w:rsidR="00FA370C" w:rsidRPr="00FA370C" w:rsidRDefault="00FA370C" w:rsidP="00FA370C">
            <w:pPr>
              <w:jc w:val="center"/>
              <w:rPr>
                <w:rFonts w:ascii="Calibri" w:hAnsi="Calibri"/>
                <w:b/>
                <w:bCs/>
                <w:color w:val="FFFFFF"/>
                <w:sz w:val="18"/>
                <w:szCs w:val="18"/>
                <w:lang w:val="es-CR" w:eastAsia="es-CR"/>
              </w:rPr>
            </w:pPr>
            <w:r w:rsidRPr="00FA370C">
              <w:rPr>
                <w:rFonts w:ascii="Calibri" w:hAnsi="Calibri"/>
                <w:b/>
                <w:bCs/>
                <w:color w:val="FFFFFF"/>
                <w:sz w:val="18"/>
                <w:szCs w:val="18"/>
                <w:lang w:val="es-CR" w:eastAsia="es-CR"/>
              </w:rPr>
              <w:t>Periodo (meses)</w:t>
            </w:r>
          </w:p>
        </w:tc>
        <w:tc>
          <w:tcPr>
            <w:tcW w:w="567" w:type="dxa"/>
            <w:tcBorders>
              <w:top w:val="single" w:sz="4" w:space="0" w:color="auto"/>
              <w:left w:val="nil"/>
              <w:bottom w:val="single" w:sz="4" w:space="0" w:color="auto"/>
              <w:right w:val="single" w:sz="4" w:space="0" w:color="auto"/>
            </w:tcBorders>
            <w:shd w:val="clear" w:color="auto" w:fill="0070C0"/>
            <w:vAlign w:val="center"/>
            <w:hideMark/>
          </w:tcPr>
          <w:p w:rsidR="00FA370C" w:rsidRPr="00FA370C" w:rsidRDefault="00FA370C" w:rsidP="00FA370C">
            <w:pPr>
              <w:jc w:val="center"/>
              <w:rPr>
                <w:rFonts w:ascii="Calibri" w:hAnsi="Calibri"/>
                <w:b/>
                <w:bCs/>
                <w:color w:val="FFFFFF"/>
                <w:sz w:val="18"/>
                <w:szCs w:val="18"/>
                <w:lang w:val="es-CR" w:eastAsia="es-CR"/>
              </w:rPr>
            </w:pPr>
            <w:r w:rsidRPr="00FA370C">
              <w:rPr>
                <w:rFonts w:ascii="Calibri" w:hAnsi="Calibri"/>
                <w:b/>
                <w:bCs/>
                <w:color w:val="FFFFFF"/>
                <w:sz w:val="18"/>
                <w:szCs w:val="18"/>
                <w:lang w:val="es-CR" w:eastAsia="es-CR"/>
              </w:rPr>
              <w:t>TCE</w:t>
            </w:r>
          </w:p>
        </w:tc>
        <w:tc>
          <w:tcPr>
            <w:tcW w:w="1134" w:type="dxa"/>
            <w:tcBorders>
              <w:top w:val="single" w:sz="4" w:space="0" w:color="auto"/>
              <w:left w:val="nil"/>
              <w:bottom w:val="single" w:sz="4" w:space="0" w:color="auto"/>
              <w:right w:val="single" w:sz="4" w:space="0" w:color="auto"/>
            </w:tcBorders>
            <w:shd w:val="clear" w:color="auto" w:fill="0070C0"/>
            <w:vAlign w:val="center"/>
            <w:hideMark/>
          </w:tcPr>
          <w:p w:rsidR="00FA370C" w:rsidRPr="00FA370C" w:rsidRDefault="00FA370C" w:rsidP="00FA370C">
            <w:pPr>
              <w:jc w:val="center"/>
              <w:rPr>
                <w:rFonts w:ascii="Calibri" w:hAnsi="Calibri"/>
                <w:b/>
                <w:bCs/>
                <w:color w:val="FFFFFF"/>
                <w:sz w:val="18"/>
                <w:szCs w:val="18"/>
                <w:lang w:val="es-CR" w:eastAsia="es-CR"/>
              </w:rPr>
            </w:pPr>
            <w:proofErr w:type="spellStart"/>
            <w:r w:rsidRPr="00FA370C">
              <w:rPr>
                <w:rFonts w:ascii="Calibri" w:hAnsi="Calibri"/>
                <w:b/>
                <w:bCs/>
                <w:color w:val="FFFFFF"/>
                <w:sz w:val="18"/>
                <w:szCs w:val="18"/>
                <w:lang w:val="es-CR" w:eastAsia="es-CR"/>
              </w:rPr>
              <w:t>Nombram</w:t>
            </w:r>
            <w:proofErr w:type="spellEnd"/>
            <w:r w:rsidRPr="00FA370C">
              <w:rPr>
                <w:rFonts w:ascii="Calibri" w:hAnsi="Calibri"/>
                <w:b/>
                <w:bCs/>
                <w:color w:val="FFFFFF"/>
                <w:sz w:val="18"/>
                <w:szCs w:val="18"/>
                <w:lang w:val="es-CR" w:eastAsia="es-CR"/>
              </w:rPr>
              <w:t>.</w:t>
            </w:r>
          </w:p>
        </w:tc>
        <w:tc>
          <w:tcPr>
            <w:tcW w:w="1418" w:type="dxa"/>
            <w:tcBorders>
              <w:top w:val="single" w:sz="4" w:space="0" w:color="auto"/>
              <w:left w:val="nil"/>
              <w:bottom w:val="single" w:sz="4" w:space="0" w:color="auto"/>
              <w:right w:val="single" w:sz="4" w:space="0" w:color="auto"/>
            </w:tcBorders>
            <w:shd w:val="clear" w:color="auto" w:fill="0070C0"/>
            <w:vAlign w:val="center"/>
            <w:hideMark/>
          </w:tcPr>
          <w:p w:rsidR="00FA370C" w:rsidRPr="00FA370C" w:rsidRDefault="00FA370C" w:rsidP="00FA370C">
            <w:pPr>
              <w:jc w:val="center"/>
              <w:rPr>
                <w:rFonts w:ascii="Calibri" w:hAnsi="Calibri"/>
                <w:b/>
                <w:bCs/>
                <w:color w:val="FFFFFF"/>
                <w:sz w:val="18"/>
                <w:szCs w:val="18"/>
                <w:lang w:val="es-CR" w:eastAsia="es-CR"/>
              </w:rPr>
            </w:pPr>
            <w:r w:rsidRPr="00FA370C">
              <w:rPr>
                <w:rFonts w:ascii="Calibri" w:hAnsi="Calibri"/>
                <w:b/>
                <w:bCs/>
                <w:color w:val="FFFFFF"/>
                <w:sz w:val="18"/>
                <w:szCs w:val="18"/>
                <w:lang w:val="es-CR" w:eastAsia="es-CR"/>
              </w:rPr>
              <w:t>Adscrita a:</w:t>
            </w:r>
          </w:p>
        </w:tc>
        <w:tc>
          <w:tcPr>
            <w:tcW w:w="1484" w:type="dxa"/>
            <w:tcBorders>
              <w:top w:val="single" w:sz="4" w:space="0" w:color="auto"/>
              <w:left w:val="nil"/>
              <w:bottom w:val="single" w:sz="4" w:space="0" w:color="auto"/>
              <w:right w:val="single" w:sz="4" w:space="0" w:color="auto"/>
            </w:tcBorders>
            <w:shd w:val="clear" w:color="auto" w:fill="0070C0"/>
            <w:vAlign w:val="center"/>
            <w:hideMark/>
          </w:tcPr>
          <w:p w:rsidR="00FA370C" w:rsidRPr="00FA370C" w:rsidRDefault="00FA370C" w:rsidP="00FA370C">
            <w:pPr>
              <w:jc w:val="center"/>
              <w:rPr>
                <w:rFonts w:ascii="Calibri" w:hAnsi="Calibri"/>
                <w:b/>
                <w:bCs/>
                <w:color w:val="FFFFFF"/>
                <w:sz w:val="16"/>
                <w:szCs w:val="16"/>
                <w:lang w:val="es-CR" w:eastAsia="es-CR"/>
              </w:rPr>
            </w:pPr>
            <w:r w:rsidRPr="00FA370C">
              <w:rPr>
                <w:rFonts w:ascii="Calibri" w:hAnsi="Calibri"/>
                <w:b/>
                <w:bCs/>
                <w:color w:val="FFFFFF"/>
                <w:sz w:val="16"/>
                <w:szCs w:val="16"/>
                <w:lang w:val="es-CR" w:eastAsia="es-CR"/>
              </w:rPr>
              <w:t>Observaciones</w:t>
            </w:r>
            <w:r w:rsidRPr="00FA370C">
              <w:rPr>
                <w:rFonts w:ascii="Calibri" w:hAnsi="Calibri"/>
                <w:b/>
                <w:bCs/>
                <w:color w:val="FFFFFF"/>
                <w:sz w:val="16"/>
                <w:szCs w:val="16"/>
                <w:lang w:val="es-CR" w:eastAsia="es-CR"/>
              </w:rPr>
              <w:br/>
              <w:t>Renovación y reconversión</w:t>
            </w:r>
          </w:p>
        </w:tc>
      </w:tr>
      <w:tr w:rsidR="00FA370C" w:rsidRPr="00FA370C" w:rsidTr="00654BD8">
        <w:trPr>
          <w:trHeight w:val="240"/>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FA370C" w:rsidRPr="00FA370C" w:rsidRDefault="00FA370C" w:rsidP="00FA370C">
            <w:pPr>
              <w:jc w:val="center"/>
              <w:rPr>
                <w:rFonts w:ascii="Calibri" w:hAnsi="Calibri"/>
                <w:b/>
                <w:bCs/>
                <w:color w:val="000000"/>
                <w:sz w:val="18"/>
                <w:szCs w:val="18"/>
                <w:lang w:val="es-CR" w:eastAsia="es-CR"/>
              </w:rPr>
            </w:pPr>
            <w:r w:rsidRPr="00FA370C">
              <w:rPr>
                <w:rFonts w:ascii="Calibri" w:hAnsi="Calibri"/>
                <w:b/>
                <w:bCs/>
                <w:color w:val="000000"/>
                <w:sz w:val="18"/>
                <w:szCs w:val="18"/>
                <w:lang w:val="es-CR" w:eastAsia="es-CR"/>
              </w:rPr>
              <w:t>14</w:t>
            </w:r>
          </w:p>
        </w:tc>
        <w:tc>
          <w:tcPr>
            <w:tcW w:w="525" w:type="dxa"/>
            <w:gridSpan w:val="2"/>
            <w:tcBorders>
              <w:top w:val="nil"/>
              <w:left w:val="nil"/>
              <w:bottom w:val="single" w:sz="4" w:space="0" w:color="auto"/>
              <w:right w:val="single" w:sz="4" w:space="0" w:color="auto"/>
            </w:tcBorders>
            <w:shd w:val="clear" w:color="auto" w:fill="auto"/>
            <w:noWrap/>
            <w:vAlign w:val="center"/>
            <w:hideMark/>
          </w:tcPr>
          <w:p w:rsidR="00FA370C" w:rsidRPr="00FA370C" w:rsidRDefault="00FA370C" w:rsidP="00FA370C">
            <w:pPr>
              <w:jc w:val="center"/>
              <w:rPr>
                <w:rFonts w:ascii="Calibri" w:hAnsi="Calibri"/>
                <w:color w:val="000000"/>
                <w:sz w:val="18"/>
                <w:szCs w:val="18"/>
                <w:lang w:val="es-CR" w:eastAsia="es-CR"/>
              </w:rPr>
            </w:pPr>
            <w:r w:rsidRPr="00FA370C">
              <w:rPr>
                <w:rFonts w:ascii="Calibri" w:hAnsi="Calibri"/>
                <w:color w:val="000000"/>
                <w:sz w:val="18"/>
                <w:szCs w:val="18"/>
                <w:lang w:val="es-CR" w:eastAsia="es-CR"/>
              </w:rPr>
              <w:t>1.1</w:t>
            </w:r>
          </w:p>
        </w:tc>
        <w:tc>
          <w:tcPr>
            <w:tcW w:w="709" w:type="dxa"/>
            <w:tcBorders>
              <w:top w:val="nil"/>
              <w:left w:val="nil"/>
              <w:bottom w:val="single" w:sz="4" w:space="0" w:color="auto"/>
              <w:right w:val="single" w:sz="4" w:space="0" w:color="auto"/>
            </w:tcBorders>
            <w:shd w:val="clear" w:color="auto" w:fill="auto"/>
            <w:noWrap/>
            <w:vAlign w:val="center"/>
            <w:hideMark/>
          </w:tcPr>
          <w:p w:rsidR="00FA370C" w:rsidRPr="00FA370C" w:rsidRDefault="00FA370C" w:rsidP="00FA370C">
            <w:pPr>
              <w:jc w:val="center"/>
              <w:rPr>
                <w:rFonts w:ascii="Calibri" w:hAnsi="Calibri"/>
                <w:color w:val="000000"/>
                <w:sz w:val="18"/>
                <w:szCs w:val="18"/>
                <w:lang w:val="es-CR" w:eastAsia="es-CR"/>
              </w:rPr>
            </w:pPr>
            <w:r w:rsidRPr="00FA370C">
              <w:rPr>
                <w:rFonts w:ascii="Calibri" w:hAnsi="Calibri"/>
                <w:color w:val="000000"/>
                <w:sz w:val="18"/>
                <w:szCs w:val="18"/>
                <w:lang w:val="es-CR" w:eastAsia="es-CR"/>
              </w:rPr>
              <w:t>CT0235</w:t>
            </w:r>
          </w:p>
        </w:tc>
        <w:tc>
          <w:tcPr>
            <w:tcW w:w="709" w:type="dxa"/>
            <w:tcBorders>
              <w:top w:val="nil"/>
              <w:left w:val="nil"/>
              <w:bottom w:val="single" w:sz="4" w:space="0" w:color="auto"/>
              <w:right w:val="single" w:sz="4" w:space="0" w:color="auto"/>
            </w:tcBorders>
            <w:shd w:val="clear" w:color="auto" w:fill="auto"/>
            <w:noWrap/>
            <w:vAlign w:val="center"/>
            <w:hideMark/>
          </w:tcPr>
          <w:p w:rsidR="00FA370C" w:rsidRPr="00FA370C" w:rsidRDefault="00FA370C" w:rsidP="00FA370C">
            <w:pPr>
              <w:jc w:val="center"/>
              <w:rPr>
                <w:rFonts w:ascii="Calibri" w:hAnsi="Calibri"/>
                <w:color w:val="000000"/>
                <w:sz w:val="18"/>
                <w:szCs w:val="18"/>
                <w:lang w:val="es-CR" w:eastAsia="es-CR"/>
              </w:rPr>
            </w:pPr>
            <w:r w:rsidRPr="00FA370C">
              <w:rPr>
                <w:rFonts w:ascii="Calibri" w:hAnsi="Calibri"/>
                <w:color w:val="000000"/>
                <w:sz w:val="18"/>
                <w:szCs w:val="18"/>
                <w:lang w:val="es-CR" w:eastAsia="es-CR"/>
              </w:rPr>
              <w:t>CT2877</w:t>
            </w:r>
          </w:p>
        </w:tc>
        <w:tc>
          <w:tcPr>
            <w:tcW w:w="1417" w:type="dxa"/>
            <w:tcBorders>
              <w:top w:val="nil"/>
              <w:left w:val="nil"/>
              <w:bottom w:val="single" w:sz="4" w:space="0" w:color="auto"/>
              <w:right w:val="single" w:sz="4" w:space="0" w:color="auto"/>
            </w:tcBorders>
            <w:shd w:val="clear" w:color="auto" w:fill="auto"/>
            <w:vAlign w:val="center"/>
            <w:hideMark/>
          </w:tcPr>
          <w:p w:rsidR="00FA370C" w:rsidRPr="00FA370C" w:rsidRDefault="00FA370C" w:rsidP="00FA370C">
            <w:pPr>
              <w:rPr>
                <w:rFonts w:ascii="Calibri" w:hAnsi="Calibri"/>
                <w:color w:val="000000"/>
                <w:sz w:val="18"/>
                <w:szCs w:val="18"/>
                <w:lang w:val="es-CR" w:eastAsia="es-CR"/>
              </w:rPr>
            </w:pPr>
            <w:r w:rsidRPr="00FA370C">
              <w:rPr>
                <w:rFonts w:ascii="Calibri" w:hAnsi="Calibri"/>
                <w:color w:val="000000"/>
                <w:sz w:val="18"/>
                <w:szCs w:val="18"/>
                <w:lang w:val="es-CR" w:eastAsia="es-CR"/>
              </w:rPr>
              <w:t>Profesional en Comunicación</w:t>
            </w:r>
          </w:p>
        </w:tc>
        <w:tc>
          <w:tcPr>
            <w:tcW w:w="567" w:type="dxa"/>
            <w:tcBorders>
              <w:top w:val="nil"/>
              <w:left w:val="nil"/>
              <w:bottom w:val="single" w:sz="4" w:space="0" w:color="auto"/>
              <w:right w:val="single" w:sz="4" w:space="0" w:color="auto"/>
            </w:tcBorders>
            <w:shd w:val="clear" w:color="auto" w:fill="auto"/>
            <w:noWrap/>
            <w:vAlign w:val="center"/>
            <w:hideMark/>
          </w:tcPr>
          <w:p w:rsidR="00FA370C" w:rsidRPr="00FA370C" w:rsidRDefault="00FA370C" w:rsidP="00FA370C">
            <w:pPr>
              <w:jc w:val="center"/>
              <w:rPr>
                <w:rFonts w:ascii="Calibri" w:hAnsi="Calibri"/>
                <w:color w:val="000000"/>
                <w:sz w:val="18"/>
                <w:szCs w:val="18"/>
                <w:lang w:val="es-CR" w:eastAsia="es-CR"/>
              </w:rPr>
            </w:pPr>
            <w:r w:rsidRPr="00FA370C">
              <w:rPr>
                <w:rFonts w:ascii="Calibri" w:hAnsi="Calibri"/>
                <w:color w:val="000000"/>
                <w:sz w:val="18"/>
                <w:szCs w:val="18"/>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FA370C" w:rsidRPr="00FA370C" w:rsidRDefault="00FA370C" w:rsidP="00FA370C">
            <w:pPr>
              <w:jc w:val="center"/>
              <w:rPr>
                <w:rFonts w:ascii="Calibri" w:hAnsi="Calibri"/>
                <w:color w:val="000000"/>
                <w:sz w:val="18"/>
                <w:szCs w:val="18"/>
                <w:lang w:val="es-CR" w:eastAsia="es-CR"/>
              </w:rPr>
            </w:pPr>
            <w:r w:rsidRPr="00FA370C">
              <w:rPr>
                <w:rFonts w:ascii="Calibri" w:hAnsi="Calibri"/>
                <w:color w:val="000000"/>
                <w:sz w:val="18"/>
                <w:szCs w:val="18"/>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FA370C" w:rsidRPr="00FA370C" w:rsidRDefault="00FA370C" w:rsidP="00FA370C">
            <w:pPr>
              <w:jc w:val="center"/>
              <w:rPr>
                <w:rFonts w:ascii="Calibri" w:hAnsi="Calibri"/>
                <w:color w:val="000000"/>
                <w:sz w:val="18"/>
                <w:szCs w:val="18"/>
                <w:lang w:val="es-CR" w:eastAsia="es-CR"/>
              </w:rPr>
            </w:pPr>
            <w:r w:rsidRPr="00FA370C">
              <w:rPr>
                <w:rFonts w:ascii="Calibri" w:hAnsi="Calibri"/>
                <w:color w:val="000000"/>
                <w:sz w:val="18"/>
                <w:szCs w:val="18"/>
                <w:lang w:val="es-CR" w:eastAsia="es-CR"/>
              </w:rPr>
              <w:t>12</w:t>
            </w:r>
          </w:p>
        </w:tc>
        <w:tc>
          <w:tcPr>
            <w:tcW w:w="567" w:type="dxa"/>
            <w:tcBorders>
              <w:top w:val="nil"/>
              <w:left w:val="nil"/>
              <w:bottom w:val="single" w:sz="4" w:space="0" w:color="auto"/>
              <w:right w:val="single" w:sz="4" w:space="0" w:color="auto"/>
            </w:tcBorders>
            <w:shd w:val="clear" w:color="auto" w:fill="auto"/>
            <w:noWrap/>
            <w:vAlign w:val="center"/>
            <w:hideMark/>
          </w:tcPr>
          <w:p w:rsidR="00FA370C" w:rsidRPr="00FA370C" w:rsidRDefault="00FA370C" w:rsidP="00FA370C">
            <w:pPr>
              <w:jc w:val="center"/>
              <w:rPr>
                <w:rFonts w:ascii="Calibri" w:hAnsi="Calibri"/>
                <w:color w:val="000000"/>
                <w:sz w:val="18"/>
                <w:szCs w:val="18"/>
                <w:lang w:val="es-CR" w:eastAsia="es-CR"/>
              </w:rPr>
            </w:pPr>
            <w:r w:rsidRPr="00FA370C">
              <w:rPr>
                <w:rFonts w:ascii="Calibri" w:hAnsi="Calibri"/>
                <w:color w:val="000000"/>
                <w:sz w:val="18"/>
                <w:szCs w:val="18"/>
                <w:lang w:val="es-CR" w:eastAsia="es-CR"/>
              </w:rPr>
              <w:t>1,00</w:t>
            </w:r>
          </w:p>
        </w:tc>
        <w:tc>
          <w:tcPr>
            <w:tcW w:w="1134" w:type="dxa"/>
            <w:tcBorders>
              <w:top w:val="nil"/>
              <w:left w:val="nil"/>
              <w:bottom w:val="single" w:sz="4" w:space="0" w:color="auto"/>
              <w:right w:val="single" w:sz="4" w:space="0" w:color="auto"/>
            </w:tcBorders>
            <w:shd w:val="clear" w:color="auto" w:fill="auto"/>
            <w:noWrap/>
            <w:vAlign w:val="center"/>
            <w:hideMark/>
          </w:tcPr>
          <w:p w:rsidR="00FA370C" w:rsidRPr="00FA370C" w:rsidRDefault="00FA370C" w:rsidP="00FA370C">
            <w:pPr>
              <w:jc w:val="center"/>
              <w:rPr>
                <w:rFonts w:ascii="Calibri" w:hAnsi="Calibri"/>
                <w:color w:val="000000"/>
                <w:sz w:val="18"/>
                <w:szCs w:val="18"/>
                <w:lang w:val="es-CR" w:eastAsia="es-CR"/>
              </w:rPr>
            </w:pPr>
            <w:r w:rsidRPr="00FA370C">
              <w:rPr>
                <w:rFonts w:ascii="Calibri" w:hAnsi="Calibri"/>
                <w:color w:val="000000"/>
                <w:sz w:val="18"/>
                <w:szCs w:val="18"/>
                <w:lang w:val="es-CR" w:eastAsia="es-CR"/>
              </w:rPr>
              <w:t>Permanente</w:t>
            </w:r>
          </w:p>
        </w:tc>
        <w:tc>
          <w:tcPr>
            <w:tcW w:w="1418" w:type="dxa"/>
            <w:tcBorders>
              <w:top w:val="nil"/>
              <w:left w:val="nil"/>
              <w:bottom w:val="single" w:sz="4" w:space="0" w:color="auto"/>
              <w:right w:val="single" w:sz="4" w:space="0" w:color="auto"/>
            </w:tcBorders>
            <w:shd w:val="clear" w:color="auto" w:fill="auto"/>
            <w:noWrap/>
            <w:vAlign w:val="center"/>
            <w:hideMark/>
          </w:tcPr>
          <w:p w:rsidR="00FA370C" w:rsidRPr="00FA370C" w:rsidRDefault="00FA370C" w:rsidP="00FA370C">
            <w:pPr>
              <w:rPr>
                <w:rFonts w:ascii="Calibri" w:hAnsi="Calibri"/>
                <w:color w:val="000000"/>
                <w:sz w:val="18"/>
                <w:szCs w:val="18"/>
                <w:lang w:val="es-CR" w:eastAsia="es-CR"/>
              </w:rPr>
            </w:pPr>
            <w:r w:rsidRPr="00FA370C">
              <w:rPr>
                <w:rFonts w:ascii="Calibri" w:hAnsi="Calibri"/>
                <w:color w:val="000000"/>
                <w:sz w:val="18"/>
                <w:szCs w:val="18"/>
                <w:lang w:val="es-CR" w:eastAsia="es-CR"/>
              </w:rPr>
              <w:t>Oficina de Comunicación y Mercadeo</w:t>
            </w:r>
          </w:p>
        </w:tc>
        <w:tc>
          <w:tcPr>
            <w:tcW w:w="1484" w:type="dxa"/>
            <w:tcBorders>
              <w:top w:val="nil"/>
              <w:left w:val="nil"/>
              <w:bottom w:val="single" w:sz="4" w:space="0" w:color="auto"/>
              <w:right w:val="single" w:sz="4" w:space="0" w:color="auto"/>
            </w:tcBorders>
            <w:shd w:val="clear" w:color="auto" w:fill="auto"/>
            <w:noWrap/>
            <w:vAlign w:val="center"/>
            <w:hideMark/>
          </w:tcPr>
          <w:p w:rsidR="00FA370C" w:rsidRPr="00FA370C" w:rsidRDefault="00FA370C" w:rsidP="00FA370C">
            <w:pPr>
              <w:rPr>
                <w:rFonts w:ascii="Calibri" w:hAnsi="Calibri"/>
                <w:color w:val="000000"/>
                <w:sz w:val="16"/>
                <w:szCs w:val="16"/>
                <w:lang w:val="es-CR" w:eastAsia="es-CR"/>
              </w:rPr>
            </w:pPr>
            <w:r w:rsidRPr="00FA370C">
              <w:rPr>
                <w:rFonts w:ascii="Calibri" w:hAnsi="Calibri"/>
                <w:color w:val="000000"/>
                <w:sz w:val="16"/>
                <w:szCs w:val="16"/>
                <w:lang w:val="es-CR" w:eastAsia="es-CR"/>
              </w:rPr>
              <w:t>Periodismo</w:t>
            </w:r>
          </w:p>
        </w:tc>
      </w:tr>
    </w:tbl>
    <w:p w:rsidR="00FA370C" w:rsidRPr="00FA370C" w:rsidRDefault="00FA370C" w:rsidP="00FA370C">
      <w:pPr>
        <w:jc w:val="both"/>
        <w:rPr>
          <w:rFonts w:ascii="Arial" w:hAnsi="Arial" w:cs="Arial"/>
          <w:lang w:val="es-CR"/>
        </w:rPr>
      </w:pPr>
    </w:p>
    <w:p w:rsidR="00FA370C" w:rsidRPr="00FA370C" w:rsidRDefault="00FA370C" w:rsidP="00FA370C">
      <w:pPr>
        <w:spacing w:line="317" w:lineRule="auto"/>
        <w:rPr>
          <w:rFonts w:ascii="Arial" w:hAnsi="Arial" w:cs="Arial"/>
          <w:sz w:val="10"/>
          <w:szCs w:val="20"/>
          <w:lang w:val="es-CR"/>
        </w:rPr>
      </w:pPr>
    </w:p>
    <w:p w:rsidR="00FA370C" w:rsidRPr="00FA370C" w:rsidRDefault="00FA370C" w:rsidP="00FA370C">
      <w:pPr>
        <w:contextualSpacing/>
        <w:jc w:val="both"/>
        <w:outlineLvl w:val="0"/>
        <w:rPr>
          <w:rFonts w:ascii="Arial" w:hAnsi="Arial" w:cs="Arial"/>
          <w:b/>
          <w:lang w:val="es-CR"/>
        </w:rPr>
      </w:pPr>
      <w:r w:rsidRPr="00FA370C">
        <w:rPr>
          <w:rFonts w:ascii="Arial" w:hAnsi="Arial" w:cs="Arial"/>
          <w:b/>
          <w:lang w:val="es-CR"/>
        </w:rPr>
        <w:t>CONSIDERANDO QUE:</w:t>
      </w:r>
    </w:p>
    <w:p w:rsidR="00FA370C" w:rsidRPr="00FA370C" w:rsidRDefault="00FA370C" w:rsidP="00FA370C">
      <w:pPr>
        <w:spacing w:line="317" w:lineRule="auto"/>
        <w:rPr>
          <w:rFonts w:ascii="Arial" w:hAnsi="Arial" w:cs="Arial"/>
          <w:sz w:val="20"/>
          <w:szCs w:val="20"/>
          <w:lang w:val="es-CR"/>
        </w:rPr>
      </w:pPr>
    </w:p>
    <w:p w:rsidR="00FA370C" w:rsidRPr="00FA370C" w:rsidRDefault="00FA370C" w:rsidP="00FA370C">
      <w:pPr>
        <w:numPr>
          <w:ilvl w:val="0"/>
          <w:numId w:val="32"/>
        </w:numPr>
        <w:tabs>
          <w:tab w:val="left" w:pos="426"/>
        </w:tabs>
        <w:ind w:left="426" w:hanging="426"/>
        <w:contextualSpacing/>
        <w:jc w:val="both"/>
        <w:rPr>
          <w:rFonts w:ascii="Arial" w:hAnsi="Arial" w:cs="Arial"/>
          <w:lang w:eastAsia="es-CR"/>
        </w:rPr>
      </w:pPr>
      <w:r w:rsidRPr="00FA370C">
        <w:rPr>
          <w:rFonts w:ascii="Arial" w:hAnsi="Arial" w:cs="Arial"/>
          <w:lang w:eastAsia="es-CR"/>
        </w:rPr>
        <w:t xml:space="preserve">La Secretaría del Consejo Institucional recibió el oficio OPI-162-2017, con fecha de recibido 22 de marzo de 2016, suscrito por la MAU. Tatiana Fernández, Directora de la Oficina de Planificación Institucional, dirigido al Dr. Bernal Martínez Gutiérrez, Coordinador de la Comisión de Planificación y Administración, remite dictamen </w:t>
      </w:r>
      <w:proofErr w:type="gramStart"/>
      <w:r w:rsidRPr="00FA370C">
        <w:rPr>
          <w:rFonts w:ascii="Arial" w:hAnsi="Arial" w:cs="Arial"/>
          <w:lang w:eastAsia="es-CR"/>
        </w:rPr>
        <w:t>positivo  sobre</w:t>
      </w:r>
      <w:proofErr w:type="gramEnd"/>
      <w:r w:rsidRPr="00FA370C">
        <w:rPr>
          <w:rFonts w:ascii="Arial" w:hAnsi="Arial" w:cs="Arial"/>
          <w:lang w:eastAsia="es-CR"/>
        </w:rPr>
        <w:t xml:space="preserve"> la solicitud de la modificación de la Plaza CF2877 de </w:t>
      </w:r>
      <w:r w:rsidRPr="00FA370C">
        <w:rPr>
          <w:rFonts w:ascii="Arial" w:hAnsi="Arial" w:cs="Arial"/>
          <w:lang w:eastAsia="es-CR"/>
        </w:rPr>
        <w:lastRenderedPageBreak/>
        <w:t>Profesional en Comunicación, Categoría 23, a Profesional en Administración, Categoría 23, en atención a la solicitud de la Oficina de Comunicación y Mercadeo, según oficio OCM-071-2017.</w:t>
      </w:r>
    </w:p>
    <w:p w:rsidR="00FA370C" w:rsidRPr="00FA370C" w:rsidRDefault="00FA370C" w:rsidP="00FA370C">
      <w:pPr>
        <w:tabs>
          <w:tab w:val="left" w:pos="426"/>
        </w:tabs>
        <w:contextualSpacing/>
        <w:jc w:val="both"/>
        <w:rPr>
          <w:rFonts w:ascii="Arial" w:hAnsi="Arial" w:cs="Arial"/>
          <w:lang w:eastAsia="es-CR"/>
        </w:rPr>
      </w:pPr>
    </w:p>
    <w:p w:rsidR="00FA370C" w:rsidRPr="00FA370C" w:rsidRDefault="00FA370C" w:rsidP="00FA370C">
      <w:pPr>
        <w:tabs>
          <w:tab w:val="left" w:pos="426"/>
        </w:tabs>
        <w:ind w:left="426"/>
        <w:contextualSpacing/>
        <w:jc w:val="both"/>
        <w:rPr>
          <w:rFonts w:ascii="Arial" w:hAnsi="Arial" w:cs="Arial"/>
          <w:lang w:eastAsia="es-CR"/>
        </w:rPr>
      </w:pPr>
      <w:r w:rsidRPr="00FA370C">
        <w:rPr>
          <w:rFonts w:ascii="Arial" w:hAnsi="Arial" w:cs="Arial"/>
          <w:lang w:eastAsia="es-CR"/>
        </w:rPr>
        <w:t>Justifica que se requiere modificar la plaza de Profesional en Comunicación a Profesional en Administración, con la misma categoría, para que ejerza funciones de Mercadeo, ya que las funciones de la Oficina de Comunicación y Mercadeo se han ido especializando, producto de la modernización y evolución del entorno y las necesidades institucionales.</w:t>
      </w:r>
    </w:p>
    <w:p w:rsidR="00FA370C" w:rsidRPr="00FA370C" w:rsidRDefault="00FA370C" w:rsidP="00FA370C">
      <w:pPr>
        <w:tabs>
          <w:tab w:val="left" w:pos="426"/>
        </w:tabs>
        <w:ind w:left="426"/>
        <w:contextualSpacing/>
        <w:jc w:val="both"/>
        <w:rPr>
          <w:rFonts w:ascii="Arial" w:hAnsi="Arial" w:cs="Arial"/>
          <w:lang w:eastAsia="es-CR"/>
        </w:rPr>
      </w:pPr>
    </w:p>
    <w:p w:rsidR="00FA370C" w:rsidRPr="00FA370C" w:rsidRDefault="00FA370C" w:rsidP="00FA370C">
      <w:pPr>
        <w:numPr>
          <w:ilvl w:val="0"/>
          <w:numId w:val="32"/>
        </w:numPr>
        <w:tabs>
          <w:tab w:val="left" w:pos="426"/>
        </w:tabs>
        <w:ind w:left="426" w:hanging="426"/>
        <w:contextualSpacing/>
        <w:jc w:val="both"/>
        <w:rPr>
          <w:rFonts w:ascii="Arial" w:hAnsi="Arial" w:cs="Arial"/>
          <w:lang w:eastAsia="es-CR"/>
        </w:rPr>
      </w:pPr>
      <w:r w:rsidRPr="00FA370C">
        <w:rPr>
          <w:rFonts w:ascii="Arial" w:hAnsi="Arial" w:cs="Arial"/>
          <w:lang w:eastAsia="es-CR"/>
        </w:rPr>
        <w:t>Mediante oficio RH-262-2017, con fecha de recibido 22 de marzo de 2017, suscrito por el MBA. Harold Blanco, Director del Departamento de Recursos Humanos</w:t>
      </w:r>
      <w:proofErr w:type="gramStart"/>
      <w:r w:rsidRPr="00FA370C">
        <w:rPr>
          <w:rFonts w:ascii="Arial" w:hAnsi="Arial" w:cs="Arial"/>
          <w:lang w:eastAsia="es-CR"/>
        </w:rPr>
        <w:t>,  dirigido</w:t>
      </w:r>
      <w:proofErr w:type="gramEnd"/>
      <w:r w:rsidRPr="00FA370C">
        <w:rPr>
          <w:rFonts w:ascii="Arial" w:hAnsi="Arial" w:cs="Arial"/>
          <w:lang w:eastAsia="es-CR"/>
        </w:rPr>
        <w:t xml:space="preserve"> a la MAU. Tatiana Fernández, Directora de la Oficina de Planificación Institucional, se emite el criterio sobre </w:t>
      </w:r>
      <w:proofErr w:type="gramStart"/>
      <w:r w:rsidRPr="00FA370C">
        <w:rPr>
          <w:rFonts w:ascii="Arial" w:hAnsi="Arial" w:cs="Arial"/>
          <w:lang w:eastAsia="es-CR"/>
        </w:rPr>
        <w:t>el  impacto</w:t>
      </w:r>
      <w:proofErr w:type="gramEnd"/>
      <w:r w:rsidRPr="00FA370C">
        <w:rPr>
          <w:rFonts w:ascii="Arial" w:hAnsi="Arial" w:cs="Arial"/>
          <w:lang w:eastAsia="es-CR"/>
        </w:rPr>
        <w:t xml:space="preserve"> presupuestario para el cambio propuesto, e indica que no existe impacto en el Presupuesto Ordinario 2017, ya que ambos puestos tienen la misma categoría salarial.  RH-262-2017, emitido por el Departamento.</w:t>
      </w:r>
    </w:p>
    <w:p w:rsidR="00FA370C" w:rsidRPr="00FA370C" w:rsidRDefault="00FA370C" w:rsidP="00FA370C">
      <w:pPr>
        <w:tabs>
          <w:tab w:val="left" w:pos="426"/>
        </w:tabs>
        <w:ind w:left="426"/>
        <w:contextualSpacing/>
        <w:jc w:val="both"/>
        <w:rPr>
          <w:rFonts w:ascii="Arial" w:hAnsi="Arial" w:cs="Arial"/>
          <w:lang w:eastAsia="es-CR"/>
        </w:rPr>
      </w:pPr>
    </w:p>
    <w:p w:rsidR="00FA370C" w:rsidRPr="00FA370C" w:rsidRDefault="00FA370C" w:rsidP="00FA370C">
      <w:pPr>
        <w:numPr>
          <w:ilvl w:val="0"/>
          <w:numId w:val="32"/>
        </w:numPr>
        <w:tabs>
          <w:tab w:val="left" w:pos="426"/>
        </w:tabs>
        <w:ind w:left="426" w:hanging="426"/>
        <w:contextualSpacing/>
        <w:jc w:val="both"/>
        <w:rPr>
          <w:rFonts w:ascii="Arial" w:hAnsi="Arial" w:cs="Arial"/>
          <w:lang w:eastAsia="es-CR"/>
        </w:rPr>
      </w:pPr>
      <w:r w:rsidRPr="00FA370C">
        <w:rPr>
          <w:rFonts w:ascii="Arial" w:hAnsi="Arial" w:cs="Arial"/>
          <w:lang w:eastAsia="es-CR"/>
        </w:rPr>
        <w:t xml:space="preserve">La Comisión de Planificación y Administración en reunión No. 716-2017, realizada </w:t>
      </w:r>
      <w:proofErr w:type="gramStart"/>
      <w:r w:rsidRPr="00FA370C">
        <w:rPr>
          <w:rFonts w:ascii="Arial" w:hAnsi="Arial" w:cs="Arial"/>
          <w:lang w:eastAsia="es-CR"/>
        </w:rPr>
        <w:t>el  27</w:t>
      </w:r>
      <w:proofErr w:type="gramEnd"/>
      <w:r w:rsidRPr="00FA370C">
        <w:rPr>
          <w:rFonts w:ascii="Arial" w:hAnsi="Arial" w:cs="Arial"/>
          <w:lang w:eastAsia="es-CR"/>
        </w:rPr>
        <w:t xml:space="preserve"> de marzo de 2017, analiza los documentos que respalda la solicitud de modificación de la plaza CF2877, y dispone elevar la siguiente propuesta al Consejo Institucional.</w:t>
      </w:r>
    </w:p>
    <w:p w:rsidR="00FA370C" w:rsidRPr="00FA370C" w:rsidRDefault="00FA370C" w:rsidP="00FA370C">
      <w:pPr>
        <w:jc w:val="both"/>
        <w:rPr>
          <w:rFonts w:ascii="Arial" w:hAnsi="Arial" w:cs="Arial"/>
          <w:i/>
          <w:lang w:val="es-CR"/>
        </w:rPr>
      </w:pPr>
    </w:p>
    <w:p w:rsidR="00FA370C" w:rsidRPr="00FA370C" w:rsidRDefault="00FA370C" w:rsidP="00FA370C">
      <w:pPr>
        <w:jc w:val="both"/>
        <w:rPr>
          <w:rFonts w:ascii="Arial" w:hAnsi="Arial" w:cs="Arial"/>
          <w:b/>
          <w:lang w:val="es-CR"/>
        </w:rPr>
      </w:pPr>
      <w:r w:rsidRPr="00FA370C">
        <w:rPr>
          <w:rFonts w:ascii="Arial" w:hAnsi="Arial" w:cs="Arial"/>
          <w:b/>
          <w:lang w:val="es-CR"/>
        </w:rPr>
        <w:t>SE</w:t>
      </w:r>
      <w:r>
        <w:rPr>
          <w:rFonts w:ascii="Arial" w:hAnsi="Arial" w:cs="Arial"/>
          <w:b/>
          <w:lang w:val="es-CR"/>
        </w:rPr>
        <w:t xml:space="preserve"> ACUERDA</w:t>
      </w:r>
      <w:r w:rsidRPr="00FA370C">
        <w:rPr>
          <w:rFonts w:ascii="Arial" w:hAnsi="Arial" w:cs="Arial"/>
          <w:b/>
          <w:lang w:val="es-CR"/>
        </w:rPr>
        <w:t>:</w:t>
      </w:r>
    </w:p>
    <w:p w:rsidR="00FA370C" w:rsidRPr="00FA370C" w:rsidRDefault="00FA370C" w:rsidP="00FA370C">
      <w:pPr>
        <w:jc w:val="both"/>
        <w:rPr>
          <w:rFonts w:ascii="Arial" w:hAnsi="Arial" w:cs="Arial"/>
          <w:b/>
          <w:lang w:val="es-CR"/>
        </w:rPr>
      </w:pPr>
    </w:p>
    <w:p w:rsidR="00FA370C" w:rsidRPr="00FA370C" w:rsidRDefault="00FA370C" w:rsidP="00FA370C">
      <w:pPr>
        <w:numPr>
          <w:ilvl w:val="0"/>
          <w:numId w:val="31"/>
        </w:numPr>
        <w:ind w:left="426" w:hanging="426"/>
        <w:contextualSpacing/>
        <w:jc w:val="both"/>
        <w:rPr>
          <w:rFonts w:ascii="Arial" w:hAnsi="Arial" w:cs="Arial"/>
          <w:lang w:val="es-CR"/>
        </w:rPr>
      </w:pPr>
      <w:r w:rsidRPr="00FA370C">
        <w:rPr>
          <w:rFonts w:ascii="Arial" w:hAnsi="Arial" w:cs="Arial"/>
          <w:lang w:val="es-CR"/>
        </w:rPr>
        <w:t xml:space="preserve">Modificar las características de  la plaza  CF-2877,  aprobada en </w:t>
      </w:r>
      <w:r w:rsidRPr="00FA370C">
        <w:rPr>
          <w:rFonts w:ascii="Arial" w:hAnsi="Arial" w:cs="Arial"/>
          <w:bCs/>
          <w:lang w:val="es-CR"/>
        </w:rPr>
        <w:t xml:space="preserve">Sesión No. 2989, Artículo 7, 14 de setiembre de 2016, </w:t>
      </w:r>
      <w:r w:rsidRPr="00FA370C">
        <w:rPr>
          <w:rFonts w:ascii="Arial" w:hAnsi="Arial" w:cs="Arial"/>
          <w:lang w:val="es-CR"/>
        </w:rPr>
        <w:t xml:space="preserve"> para que se lea de la siguiente manera:</w:t>
      </w:r>
    </w:p>
    <w:p w:rsidR="00FA370C" w:rsidRPr="00FA370C" w:rsidRDefault="00FA370C" w:rsidP="00FA370C">
      <w:pPr>
        <w:jc w:val="both"/>
        <w:rPr>
          <w:rFonts w:ascii="Arial" w:hAnsi="Arial" w:cs="Arial"/>
          <w:lang w:val="es-CR"/>
        </w:rPr>
      </w:pPr>
    </w:p>
    <w:tbl>
      <w:tblPr>
        <w:tblW w:w="9990" w:type="dxa"/>
        <w:tblInd w:w="-351" w:type="dxa"/>
        <w:tblLayout w:type="fixed"/>
        <w:tblCellMar>
          <w:left w:w="70" w:type="dxa"/>
          <w:right w:w="70" w:type="dxa"/>
        </w:tblCellMar>
        <w:tblLook w:val="04A0" w:firstRow="1" w:lastRow="0" w:firstColumn="1" w:lastColumn="0" w:noHBand="0" w:noVBand="1"/>
      </w:tblPr>
      <w:tblGrid>
        <w:gridCol w:w="517"/>
        <w:gridCol w:w="8"/>
        <w:gridCol w:w="701"/>
        <w:gridCol w:w="8"/>
        <w:gridCol w:w="701"/>
        <w:gridCol w:w="8"/>
        <w:gridCol w:w="1409"/>
        <w:gridCol w:w="8"/>
        <w:gridCol w:w="559"/>
        <w:gridCol w:w="8"/>
        <w:gridCol w:w="559"/>
        <w:gridCol w:w="8"/>
        <w:gridCol w:w="559"/>
        <w:gridCol w:w="8"/>
        <w:gridCol w:w="559"/>
        <w:gridCol w:w="8"/>
        <w:gridCol w:w="1126"/>
        <w:gridCol w:w="8"/>
        <w:gridCol w:w="1410"/>
        <w:gridCol w:w="8"/>
        <w:gridCol w:w="1810"/>
      </w:tblGrid>
      <w:tr w:rsidR="00FA370C" w:rsidRPr="00FA370C" w:rsidTr="00654BD8">
        <w:trPr>
          <w:trHeight w:val="768"/>
          <w:tblHeader/>
        </w:trPr>
        <w:tc>
          <w:tcPr>
            <w:tcW w:w="517" w:type="dxa"/>
            <w:tcBorders>
              <w:top w:val="single" w:sz="4" w:space="0" w:color="auto"/>
              <w:left w:val="nil"/>
              <w:bottom w:val="single" w:sz="4" w:space="0" w:color="auto"/>
              <w:right w:val="single" w:sz="4" w:space="0" w:color="auto"/>
            </w:tcBorders>
            <w:shd w:val="clear" w:color="auto" w:fill="0070C0"/>
            <w:textDirection w:val="btLr"/>
            <w:vAlign w:val="center"/>
            <w:hideMark/>
          </w:tcPr>
          <w:p w:rsidR="00FA370C" w:rsidRPr="00FA370C" w:rsidRDefault="00FA370C" w:rsidP="00FA370C">
            <w:pPr>
              <w:jc w:val="center"/>
              <w:rPr>
                <w:rFonts w:ascii="Calibri" w:hAnsi="Calibri"/>
                <w:b/>
                <w:bCs/>
                <w:color w:val="FFFFFF"/>
                <w:sz w:val="18"/>
                <w:szCs w:val="18"/>
                <w:lang w:val="es-CR" w:eastAsia="es-CR"/>
              </w:rPr>
            </w:pPr>
            <w:r w:rsidRPr="00FA370C">
              <w:rPr>
                <w:rFonts w:ascii="Calibri" w:hAnsi="Calibri"/>
                <w:b/>
                <w:bCs/>
                <w:color w:val="FFFFFF"/>
                <w:sz w:val="18"/>
                <w:szCs w:val="18"/>
                <w:lang w:val="es-CR" w:eastAsia="es-CR"/>
              </w:rPr>
              <w:t>Programa</w:t>
            </w:r>
          </w:p>
        </w:tc>
        <w:tc>
          <w:tcPr>
            <w:tcW w:w="709" w:type="dxa"/>
            <w:gridSpan w:val="2"/>
            <w:tcBorders>
              <w:top w:val="single" w:sz="4" w:space="0" w:color="auto"/>
              <w:left w:val="nil"/>
              <w:bottom w:val="single" w:sz="4" w:space="0" w:color="auto"/>
              <w:right w:val="single" w:sz="4" w:space="0" w:color="auto"/>
            </w:tcBorders>
            <w:shd w:val="clear" w:color="auto" w:fill="0070C0"/>
            <w:vAlign w:val="center"/>
            <w:hideMark/>
          </w:tcPr>
          <w:p w:rsidR="00FA370C" w:rsidRPr="00FA370C" w:rsidRDefault="00FA370C" w:rsidP="00FA370C">
            <w:pPr>
              <w:jc w:val="center"/>
              <w:rPr>
                <w:rFonts w:ascii="Calibri" w:hAnsi="Calibri"/>
                <w:b/>
                <w:bCs/>
                <w:color w:val="FFFFFF"/>
                <w:sz w:val="18"/>
                <w:szCs w:val="18"/>
                <w:highlight w:val="yellow"/>
                <w:lang w:val="es-CR" w:eastAsia="es-CR"/>
              </w:rPr>
            </w:pPr>
            <w:r w:rsidRPr="00FA370C">
              <w:rPr>
                <w:rFonts w:ascii="Calibri" w:hAnsi="Calibri"/>
                <w:b/>
                <w:bCs/>
                <w:color w:val="FFFFFF"/>
                <w:sz w:val="18"/>
                <w:szCs w:val="18"/>
                <w:lang w:val="es-CR" w:eastAsia="es-CR"/>
              </w:rPr>
              <w:t>Actual</w:t>
            </w:r>
            <w:r w:rsidRPr="00FA370C">
              <w:rPr>
                <w:rFonts w:ascii="Calibri" w:hAnsi="Calibri"/>
                <w:b/>
                <w:bCs/>
                <w:color w:val="FFFFFF"/>
                <w:sz w:val="18"/>
                <w:szCs w:val="18"/>
                <w:lang w:val="es-CR" w:eastAsia="es-CR"/>
              </w:rPr>
              <w:br/>
              <w:t xml:space="preserve">Cód. plaza </w:t>
            </w:r>
          </w:p>
        </w:tc>
        <w:tc>
          <w:tcPr>
            <w:tcW w:w="709" w:type="dxa"/>
            <w:gridSpan w:val="2"/>
            <w:tcBorders>
              <w:top w:val="single" w:sz="4" w:space="0" w:color="auto"/>
              <w:left w:val="nil"/>
              <w:bottom w:val="single" w:sz="4" w:space="0" w:color="auto"/>
              <w:right w:val="single" w:sz="4" w:space="0" w:color="auto"/>
            </w:tcBorders>
            <w:shd w:val="clear" w:color="auto" w:fill="0070C0"/>
            <w:vAlign w:val="center"/>
            <w:hideMark/>
          </w:tcPr>
          <w:p w:rsidR="00FA370C" w:rsidRPr="00FA370C" w:rsidRDefault="00FA370C" w:rsidP="00FA370C">
            <w:pPr>
              <w:jc w:val="center"/>
              <w:rPr>
                <w:rFonts w:ascii="Calibri" w:hAnsi="Calibri"/>
                <w:b/>
                <w:bCs/>
                <w:color w:val="FFFFFF"/>
                <w:sz w:val="18"/>
                <w:szCs w:val="18"/>
                <w:lang w:val="es-CR" w:eastAsia="es-CR"/>
              </w:rPr>
            </w:pPr>
            <w:r w:rsidRPr="00FA370C">
              <w:rPr>
                <w:rFonts w:ascii="Calibri" w:hAnsi="Calibri"/>
                <w:b/>
                <w:bCs/>
                <w:color w:val="FFFFFF"/>
                <w:sz w:val="18"/>
                <w:szCs w:val="18"/>
                <w:lang w:val="es-CR" w:eastAsia="es-CR"/>
              </w:rPr>
              <w:t>Nuevo</w:t>
            </w:r>
            <w:r w:rsidRPr="00FA370C">
              <w:rPr>
                <w:rFonts w:ascii="Calibri" w:hAnsi="Calibri"/>
                <w:b/>
                <w:bCs/>
                <w:color w:val="FFFFFF"/>
                <w:sz w:val="18"/>
                <w:szCs w:val="18"/>
                <w:lang w:val="es-CR" w:eastAsia="es-CR"/>
              </w:rPr>
              <w:br/>
              <w:t xml:space="preserve">Cód. plaza </w:t>
            </w:r>
          </w:p>
        </w:tc>
        <w:tc>
          <w:tcPr>
            <w:tcW w:w="1417" w:type="dxa"/>
            <w:gridSpan w:val="2"/>
            <w:tcBorders>
              <w:top w:val="single" w:sz="4" w:space="0" w:color="auto"/>
              <w:left w:val="nil"/>
              <w:bottom w:val="single" w:sz="4" w:space="0" w:color="auto"/>
              <w:right w:val="single" w:sz="4" w:space="0" w:color="auto"/>
            </w:tcBorders>
            <w:shd w:val="clear" w:color="auto" w:fill="0070C0"/>
            <w:vAlign w:val="center"/>
            <w:hideMark/>
          </w:tcPr>
          <w:p w:rsidR="00FA370C" w:rsidRPr="00FA370C" w:rsidRDefault="00FA370C" w:rsidP="00FA370C">
            <w:pPr>
              <w:jc w:val="center"/>
              <w:rPr>
                <w:rFonts w:ascii="Calibri" w:hAnsi="Calibri"/>
                <w:b/>
                <w:bCs/>
                <w:color w:val="FFFFFF"/>
                <w:sz w:val="18"/>
                <w:szCs w:val="18"/>
                <w:lang w:val="es-CR" w:eastAsia="es-CR"/>
              </w:rPr>
            </w:pPr>
            <w:r w:rsidRPr="00FA370C">
              <w:rPr>
                <w:rFonts w:ascii="Calibri" w:hAnsi="Calibri"/>
                <w:b/>
                <w:bCs/>
                <w:color w:val="FFFFFF"/>
                <w:sz w:val="18"/>
                <w:szCs w:val="18"/>
                <w:lang w:val="es-CR" w:eastAsia="es-CR"/>
              </w:rPr>
              <w:t>Puesto</w:t>
            </w:r>
          </w:p>
        </w:tc>
        <w:tc>
          <w:tcPr>
            <w:tcW w:w="567" w:type="dxa"/>
            <w:gridSpan w:val="2"/>
            <w:tcBorders>
              <w:top w:val="single" w:sz="4" w:space="0" w:color="auto"/>
              <w:left w:val="nil"/>
              <w:bottom w:val="single" w:sz="4" w:space="0" w:color="auto"/>
              <w:right w:val="single" w:sz="4" w:space="0" w:color="auto"/>
            </w:tcBorders>
            <w:shd w:val="clear" w:color="auto" w:fill="0070C0"/>
            <w:textDirection w:val="btLr"/>
            <w:vAlign w:val="center"/>
            <w:hideMark/>
          </w:tcPr>
          <w:p w:rsidR="00FA370C" w:rsidRPr="00FA370C" w:rsidRDefault="00FA370C" w:rsidP="00FA370C">
            <w:pPr>
              <w:jc w:val="center"/>
              <w:rPr>
                <w:rFonts w:ascii="Calibri" w:hAnsi="Calibri"/>
                <w:b/>
                <w:bCs/>
                <w:color w:val="FFFFFF"/>
                <w:sz w:val="18"/>
                <w:szCs w:val="18"/>
                <w:lang w:val="es-CR" w:eastAsia="es-CR"/>
              </w:rPr>
            </w:pPr>
            <w:r w:rsidRPr="00FA370C">
              <w:rPr>
                <w:rFonts w:ascii="Calibri" w:hAnsi="Calibri"/>
                <w:b/>
                <w:bCs/>
                <w:color w:val="FFFFFF"/>
                <w:sz w:val="18"/>
                <w:szCs w:val="18"/>
                <w:lang w:val="es-CR" w:eastAsia="es-CR"/>
              </w:rPr>
              <w:t>Categoría</w:t>
            </w:r>
          </w:p>
        </w:tc>
        <w:tc>
          <w:tcPr>
            <w:tcW w:w="567" w:type="dxa"/>
            <w:gridSpan w:val="2"/>
            <w:tcBorders>
              <w:top w:val="single" w:sz="4" w:space="0" w:color="auto"/>
              <w:left w:val="nil"/>
              <w:bottom w:val="single" w:sz="4" w:space="0" w:color="auto"/>
              <w:right w:val="single" w:sz="4" w:space="0" w:color="auto"/>
            </w:tcBorders>
            <w:shd w:val="clear" w:color="auto" w:fill="0070C0"/>
            <w:textDirection w:val="btLr"/>
            <w:vAlign w:val="center"/>
            <w:hideMark/>
          </w:tcPr>
          <w:p w:rsidR="00FA370C" w:rsidRPr="00FA370C" w:rsidRDefault="00FA370C" w:rsidP="00FA370C">
            <w:pPr>
              <w:jc w:val="center"/>
              <w:rPr>
                <w:rFonts w:ascii="Calibri" w:hAnsi="Calibri"/>
                <w:b/>
                <w:bCs/>
                <w:color w:val="FFFFFF"/>
                <w:sz w:val="18"/>
                <w:szCs w:val="18"/>
                <w:lang w:val="es-CR" w:eastAsia="es-CR"/>
              </w:rPr>
            </w:pPr>
            <w:r w:rsidRPr="00FA370C">
              <w:rPr>
                <w:rFonts w:ascii="Calibri" w:hAnsi="Calibri"/>
                <w:b/>
                <w:bCs/>
                <w:color w:val="FFFFFF"/>
                <w:sz w:val="18"/>
                <w:szCs w:val="18"/>
                <w:lang w:val="es-CR" w:eastAsia="es-CR"/>
              </w:rPr>
              <w:t>Jornada</w:t>
            </w:r>
          </w:p>
        </w:tc>
        <w:tc>
          <w:tcPr>
            <w:tcW w:w="567" w:type="dxa"/>
            <w:gridSpan w:val="2"/>
            <w:tcBorders>
              <w:top w:val="single" w:sz="4" w:space="0" w:color="auto"/>
              <w:left w:val="nil"/>
              <w:bottom w:val="single" w:sz="4" w:space="0" w:color="auto"/>
              <w:right w:val="single" w:sz="4" w:space="0" w:color="auto"/>
            </w:tcBorders>
            <w:shd w:val="clear" w:color="auto" w:fill="0070C0"/>
            <w:textDirection w:val="btLr"/>
            <w:vAlign w:val="center"/>
            <w:hideMark/>
          </w:tcPr>
          <w:p w:rsidR="00FA370C" w:rsidRPr="00FA370C" w:rsidRDefault="00FA370C" w:rsidP="00FA370C">
            <w:pPr>
              <w:jc w:val="center"/>
              <w:rPr>
                <w:rFonts w:ascii="Calibri" w:hAnsi="Calibri"/>
                <w:b/>
                <w:bCs/>
                <w:color w:val="FFFFFF"/>
                <w:sz w:val="18"/>
                <w:szCs w:val="18"/>
                <w:lang w:val="es-CR" w:eastAsia="es-CR"/>
              </w:rPr>
            </w:pPr>
            <w:r w:rsidRPr="00FA370C">
              <w:rPr>
                <w:rFonts w:ascii="Calibri" w:hAnsi="Calibri"/>
                <w:b/>
                <w:bCs/>
                <w:color w:val="FFFFFF"/>
                <w:sz w:val="18"/>
                <w:szCs w:val="18"/>
                <w:lang w:val="es-CR" w:eastAsia="es-CR"/>
              </w:rPr>
              <w:t>Periodo (meses)</w:t>
            </w:r>
          </w:p>
        </w:tc>
        <w:tc>
          <w:tcPr>
            <w:tcW w:w="567" w:type="dxa"/>
            <w:gridSpan w:val="2"/>
            <w:tcBorders>
              <w:top w:val="single" w:sz="4" w:space="0" w:color="auto"/>
              <w:left w:val="nil"/>
              <w:bottom w:val="single" w:sz="4" w:space="0" w:color="auto"/>
              <w:right w:val="single" w:sz="4" w:space="0" w:color="auto"/>
            </w:tcBorders>
            <w:shd w:val="clear" w:color="auto" w:fill="0070C0"/>
            <w:vAlign w:val="center"/>
            <w:hideMark/>
          </w:tcPr>
          <w:p w:rsidR="00FA370C" w:rsidRPr="00FA370C" w:rsidRDefault="00FA370C" w:rsidP="00FA370C">
            <w:pPr>
              <w:jc w:val="center"/>
              <w:rPr>
                <w:rFonts w:ascii="Calibri" w:hAnsi="Calibri"/>
                <w:b/>
                <w:bCs/>
                <w:color w:val="FFFFFF"/>
                <w:sz w:val="18"/>
                <w:szCs w:val="18"/>
                <w:lang w:val="es-CR" w:eastAsia="es-CR"/>
              </w:rPr>
            </w:pPr>
            <w:r w:rsidRPr="00FA370C">
              <w:rPr>
                <w:rFonts w:ascii="Calibri" w:hAnsi="Calibri"/>
                <w:b/>
                <w:bCs/>
                <w:color w:val="FFFFFF"/>
                <w:sz w:val="18"/>
                <w:szCs w:val="18"/>
                <w:lang w:val="es-CR" w:eastAsia="es-CR"/>
              </w:rPr>
              <w:t>TCE</w:t>
            </w:r>
          </w:p>
        </w:tc>
        <w:tc>
          <w:tcPr>
            <w:tcW w:w="1134" w:type="dxa"/>
            <w:gridSpan w:val="2"/>
            <w:tcBorders>
              <w:top w:val="single" w:sz="4" w:space="0" w:color="auto"/>
              <w:left w:val="nil"/>
              <w:bottom w:val="single" w:sz="4" w:space="0" w:color="auto"/>
              <w:right w:val="single" w:sz="4" w:space="0" w:color="auto"/>
            </w:tcBorders>
            <w:shd w:val="clear" w:color="auto" w:fill="0070C0"/>
            <w:vAlign w:val="center"/>
            <w:hideMark/>
          </w:tcPr>
          <w:p w:rsidR="00FA370C" w:rsidRPr="00FA370C" w:rsidRDefault="00FA370C" w:rsidP="00FA370C">
            <w:pPr>
              <w:jc w:val="center"/>
              <w:rPr>
                <w:rFonts w:ascii="Calibri" w:hAnsi="Calibri"/>
                <w:b/>
                <w:bCs/>
                <w:color w:val="FFFFFF"/>
                <w:sz w:val="18"/>
                <w:szCs w:val="18"/>
                <w:lang w:val="es-CR" w:eastAsia="es-CR"/>
              </w:rPr>
            </w:pPr>
            <w:proofErr w:type="spellStart"/>
            <w:r w:rsidRPr="00FA370C">
              <w:rPr>
                <w:rFonts w:ascii="Calibri" w:hAnsi="Calibri"/>
                <w:b/>
                <w:bCs/>
                <w:color w:val="FFFFFF"/>
                <w:sz w:val="18"/>
                <w:szCs w:val="18"/>
                <w:lang w:val="es-CR" w:eastAsia="es-CR"/>
              </w:rPr>
              <w:t>Nombram</w:t>
            </w:r>
            <w:proofErr w:type="spellEnd"/>
            <w:r w:rsidRPr="00FA370C">
              <w:rPr>
                <w:rFonts w:ascii="Calibri" w:hAnsi="Calibri"/>
                <w:b/>
                <w:bCs/>
                <w:color w:val="FFFFFF"/>
                <w:sz w:val="18"/>
                <w:szCs w:val="18"/>
                <w:lang w:val="es-CR" w:eastAsia="es-CR"/>
              </w:rPr>
              <w:t>.</w:t>
            </w:r>
          </w:p>
        </w:tc>
        <w:tc>
          <w:tcPr>
            <w:tcW w:w="1418" w:type="dxa"/>
            <w:gridSpan w:val="2"/>
            <w:tcBorders>
              <w:top w:val="single" w:sz="4" w:space="0" w:color="auto"/>
              <w:left w:val="nil"/>
              <w:bottom w:val="single" w:sz="4" w:space="0" w:color="auto"/>
              <w:right w:val="single" w:sz="4" w:space="0" w:color="auto"/>
            </w:tcBorders>
            <w:shd w:val="clear" w:color="auto" w:fill="0070C0"/>
            <w:vAlign w:val="center"/>
            <w:hideMark/>
          </w:tcPr>
          <w:p w:rsidR="00FA370C" w:rsidRPr="00FA370C" w:rsidRDefault="00FA370C" w:rsidP="00FA370C">
            <w:pPr>
              <w:jc w:val="center"/>
              <w:rPr>
                <w:rFonts w:ascii="Calibri" w:hAnsi="Calibri"/>
                <w:b/>
                <w:bCs/>
                <w:color w:val="FFFFFF"/>
                <w:sz w:val="18"/>
                <w:szCs w:val="18"/>
                <w:lang w:val="es-CR" w:eastAsia="es-CR"/>
              </w:rPr>
            </w:pPr>
            <w:r w:rsidRPr="00FA370C">
              <w:rPr>
                <w:rFonts w:ascii="Calibri" w:hAnsi="Calibri"/>
                <w:b/>
                <w:bCs/>
                <w:color w:val="FFFFFF"/>
                <w:sz w:val="18"/>
                <w:szCs w:val="18"/>
                <w:lang w:val="es-CR" w:eastAsia="es-CR"/>
              </w:rPr>
              <w:t>Adscrita a:</w:t>
            </w:r>
          </w:p>
        </w:tc>
        <w:tc>
          <w:tcPr>
            <w:tcW w:w="1818" w:type="dxa"/>
            <w:gridSpan w:val="2"/>
            <w:tcBorders>
              <w:top w:val="single" w:sz="4" w:space="0" w:color="auto"/>
              <w:left w:val="nil"/>
              <w:bottom w:val="single" w:sz="4" w:space="0" w:color="auto"/>
              <w:right w:val="single" w:sz="4" w:space="0" w:color="auto"/>
            </w:tcBorders>
            <w:shd w:val="clear" w:color="auto" w:fill="0070C0"/>
            <w:vAlign w:val="center"/>
            <w:hideMark/>
          </w:tcPr>
          <w:p w:rsidR="00FA370C" w:rsidRPr="00FA370C" w:rsidRDefault="00FA370C" w:rsidP="00FA370C">
            <w:pPr>
              <w:jc w:val="center"/>
              <w:rPr>
                <w:rFonts w:ascii="Calibri" w:hAnsi="Calibri"/>
                <w:b/>
                <w:bCs/>
                <w:color w:val="FFFFFF"/>
                <w:sz w:val="16"/>
                <w:szCs w:val="16"/>
                <w:lang w:val="es-CR" w:eastAsia="es-CR"/>
              </w:rPr>
            </w:pPr>
            <w:r w:rsidRPr="00FA370C">
              <w:rPr>
                <w:rFonts w:ascii="Calibri" w:hAnsi="Calibri"/>
                <w:b/>
                <w:bCs/>
                <w:color w:val="FFFFFF"/>
                <w:sz w:val="16"/>
                <w:szCs w:val="16"/>
                <w:lang w:val="es-CR" w:eastAsia="es-CR"/>
              </w:rPr>
              <w:t>Observaciones</w:t>
            </w:r>
            <w:r w:rsidRPr="00FA370C">
              <w:rPr>
                <w:rFonts w:ascii="Calibri" w:hAnsi="Calibri"/>
                <w:b/>
                <w:bCs/>
                <w:color w:val="FFFFFF"/>
                <w:sz w:val="16"/>
                <w:szCs w:val="16"/>
                <w:lang w:val="es-CR" w:eastAsia="es-CR"/>
              </w:rPr>
              <w:br/>
              <w:t>Renovación y reconversión</w:t>
            </w:r>
          </w:p>
        </w:tc>
      </w:tr>
      <w:tr w:rsidR="00FA370C" w:rsidRPr="00FA370C" w:rsidTr="00654BD8">
        <w:trPr>
          <w:trHeight w:val="240"/>
        </w:trPr>
        <w:tc>
          <w:tcPr>
            <w:tcW w:w="5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370C" w:rsidRPr="00FA370C" w:rsidRDefault="00FA370C" w:rsidP="00FA370C">
            <w:pPr>
              <w:jc w:val="center"/>
              <w:rPr>
                <w:rFonts w:ascii="Calibri" w:hAnsi="Calibri"/>
                <w:color w:val="000000"/>
                <w:sz w:val="18"/>
                <w:szCs w:val="18"/>
                <w:highlight w:val="yellow"/>
                <w:lang w:val="es-CR" w:eastAsia="es-CR"/>
              </w:rPr>
            </w:pPr>
            <w:r w:rsidRPr="00FA370C">
              <w:rPr>
                <w:rFonts w:ascii="Calibri" w:hAnsi="Calibri"/>
                <w:color w:val="000000"/>
                <w:sz w:val="18"/>
                <w:szCs w:val="18"/>
                <w:lang w:val="es-CR" w:eastAsia="es-CR"/>
              </w:rPr>
              <w:t>1.1</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FA370C" w:rsidRPr="00FA370C" w:rsidRDefault="00FA370C" w:rsidP="00FA370C">
            <w:pPr>
              <w:jc w:val="center"/>
              <w:rPr>
                <w:rFonts w:ascii="Calibri" w:hAnsi="Calibri"/>
                <w:sz w:val="18"/>
                <w:szCs w:val="18"/>
                <w:lang w:val="es-CR" w:eastAsia="es-CR"/>
              </w:rPr>
            </w:pPr>
            <w:r w:rsidRPr="00FA370C">
              <w:rPr>
                <w:rFonts w:ascii="Calibri" w:hAnsi="Calibri"/>
                <w:sz w:val="18"/>
                <w:szCs w:val="18"/>
                <w:lang w:val="es-CR" w:eastAsia="es-CR"/>
              </w:rPr>
              <w:t>CF2877</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FA370C" w:rsidRPr="00FA370C" w:rsidRDefault="00FA370C" w:rsidP="00FA370C">
            <w:pPr>
              <w:jc w:val="center"/>
              <w:rPr>
                <w:rFonts w:ascii="Calibri" w:hAnsi="Calibri"/>
                <w:sz w:val="18"/>
                <w:szCs w:val="18"/>
                <w:lang w:val="es-CR" w:eastAsia="es-CR"/>
              </w:rPr>
            </w:pPr>
            <w:r w:rsidRPr="00FA370C">
              <w:rPr>
                <w:rFonts w:ascii="Calibri" w:hAnsi="Calibri"/>
                <w:sz w:val="18"/>
                <w:szCs w:val="18"/>
                <w:lang w:val="es-CR" w:eastAsia="es-CR"/>
              </w:rPr>
              <w:t>CF2877</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A370C" w:rsidRPr="00FA370C" w:rsidRDefault="00FA370C" w:rsidP="00FA370C">
            <w:pPr>
              <w:rPr>
                <w:rFonts w:ascii="Calibri" w:hAnsi="Calibri"/>
                <w:color w:val="000000"/>
                <w:sz w:val="18"/>
                <w:szCs w:val="18"/>
                <w:lang w:val="es-CR" w:eastAsia="es-CR"/>
              </w:rPr>
            </w:pPr>
            <w:r w:rsidRPr="00FA370C">
              <w:rPr>
                <w:rFonts w:ascii="Calibri" w:hAnsi="Calibri"/>
                <w:color w:val="000000"/>
                <w:sz w:val="18"/>
                <w:szCs w:val="18"/>
                <w:lang w:val="es-CR" w:eastAsia="es-CR"/>
              </w:rPr>
              <w:t>Profesional en Administración</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FA370C" w:rsidRPr="00FA370C" w:rsidRDefault="00FA370C" w:rsidP="00FA370C">
            <w:pPr>
              <w:jc w:val="center"/>
              <w:rPr>
                <w:rFonts w:ascii="Calibri" w:hAnsi="Calibri"/>
                <w:color w:val="000000"/>
                <w:sz w:val="18"/>
                <w:szCs w:val="18"/>
                <w:lang w:val="es-CR" w:eastAsia="es-CR"/>
              </w:rPr>
            </w:pPr>
            <w:r w:rsidRPr="00FA370C">
              <w:rPr>
                <w:rFonts w:ascii="Calibri" w:hAnsi="Calibri"/>
                <w:color w:val="000000"/>
                <w:sz w:val="18"/>
                <w:szCs w:val="18"/>
                <w:lang w:val="es-CR" w:eastAsia="es-CR"/>
              </w:rPr>
              <w:t>23</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FA370C" w:rsidRPr="00FA370C" w:rsidRDefault="00FA370C" w:rsidP="00FA370C">
            <w:pPr>
              <w:jc w:val="center"/>
              <w:rPr>
                <w:rFonts w:ascii="Calibri" w:hAnsi="Calibri"/>
                <w:color w:val="000000"/>
                <w:sz w:val="18"/>
                <w:szCs w:val="18"/>
                <w:lang w:val="es-CR" w:eastAsia="es-CR"/>
              </w:rPr>
            </w:pPr>
            <w:r w:rsidRPr="00FA370C">
              <w:rPr>
                <w:rFonts w:ascii="Calibri" w:hAnsi="Calibri"/>
                <w:color w:val="000000"/>
                <w:sz w:val="18"/>
                <w:szCs w:val="18"/>
                <w:lang w:val="es-CR" w:eastAsia="es-CR"/>
              </w:rPr>
              <w:t>100%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FA370C" w:rsidRPr="00FA370C" w:rsidRDefault="00FA370C" w:rsidP="00FA370C">
            <w:pPr>
              <w:jc w:val="center"/>
              <w:rPr>
                <w:rFonts w:ascii="Calibri" w:hAnsi="Calibri"/>
                <w:color w:val="000000"/>
                <w:sz w:val="18"/>
                <w:szCs w:val="18"/>
                <w:lang w:val="es-CR" w:eastAsia="es-CR"/>
              </w:rPr>
            </w:pPr>
            <w:r w:rsidRPr="00FA370C">
              <w:rPr>
                <w:rFonts w:ascii="Calibri" w:hAnsi="Calibri"/>
                <w:color w:val="000000"/>
                <w:sz w:val="18"/>
                <w:szCs w:val="18"/>
                <w:lang w:val="es-CR" w:eastAsia="es-CR"/>
              </w:rPr>
              <w:t>12</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FA370C" w:rsidRPr="00FA370C" w:rsidRDefault="00FA370C" w:rsidP="00FA370C">
            <w:pPr>
              <w:jc w:val="center"/>
              <w:rPr>
                <w:rFonts w:ascii="Calibri" w:hAnsi="Calibri"/>
                <w:color w:val="000000"/>
                <w:sz w:val="18"/>
                <w:szCs w:val="18"/>
                <w:lang w:val="es-CR" w:eastAsia="es-CR"/>
              </w:rPr>
            </w:pPr>
            <w:r w:rsidRPr="00FA370C">
              <w:rPr>
                <w:rFonts w:ascii="Calibri" w:hAnsi="Calibri"/>
                <w:color w:val="000000"/>
                <w:sz w:val="18"/>
                <w:szCs w:val="18"/>
                <w:lang w:val="es-CR" w:eastAsia="es-CR"/>
              </w:rPr>
              <w:t>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A370C" w:rsidRPr="00FA370C" w:rsidRDefault="00FA370C" w:rsidP="00FA370C">
            <w:pPr>
              <w:jc w:val="center"/>
              <w:rPr>
                <w:rFonts w:ascii="Calibri" w:hAnsi="Calibri"/>
                <w:color w:val="000000"/>
                <w:sz w:val="18"/>
                <w:szCs w:val="18"/>
                <w:lang w:val="es-CR" w:eastAsia="es-CR"/>
              </w:rPr>
            </w:pPr>
            <w:r w:rsidRPr="00FA370C">
              <w:rPr>
                <w:rFonts w:ascii="Calibri" w:hAnsi="Calibri"/>
                <w:color w:val="000000"/>
                <w:sz w:val="18"/>
                <w:szCs w:val="18"/>
                <w:lang w:val="es-CR" w:eastAsia="es-CR"/>
              </w:rPr>
              <w:t>Permanente</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FA370C" w:rsidRPr="00FA370C" w:rsidRDefault="00FA370C" w:rsidP="00FA370C">
            <w:pPr>
              <w:rPr>
                <w:rFonts w:ascii="Calibri" w:hAnsi="Calibri"/>
                <w:color w:val="000000"/>
                <w:sz w:val="18"/>
                <w:szCs w:val="18"/>
                <w:lang w:val="es-CR" w:eastAsia="es-CR"/>
              </w:rPr>
            </w:pPr>
            <w:r w:rsidRPr="00FA370C">
              <w:rPr>
                <w:rFonts w:ascii="Calibri" w:hAnsi="Calibri"/>
                <w:color w:val="000000"/>
                <w:sz w:val="18"/>
                <w:szCs w:val="18"/>
                <w:lang w:val="es-CR" w:eastAsia="es-CR"/>
              </w:rPr>
              <w:t>Oficina de Comunicación y Mercadeo</w:t>
            </w:r>
          </w:p>
        </w:tc>
        <w:tc>
          <w:tcPr>
            <w:tcW w:w="1810" w:type="dxa"/>
            <w:tcBorders>
              <w:top w:val="single" w:sz="4" w:space="0" w:color="auto"/>
              <w:left w:val="nil"/>
              <w:bottom w:val="single" w:sz="4" w:space="0" w:color="auto"/>
              <w:right w:val="single" w:sz="4" w:space="0" w:color="auto"/>
            </w:tcBorders>
            <w:shd w:val="clear" w:color="auto" w:fill="auto"/>
            <w:noWrap/>
            <w:vAlign w:val="center"/>
            <w:hideMark/>
          </w:tcPr>
          <w:p w:rsidR="00FA370C" w:rsidRPr="00FA370C" w:rsidRDefault="00FA370C" w:rsidP="00FA370C">
            <w:pPr>
              <w:rPr>
                <w:rFonts w:ascii="Calibri" w:hAnsi="Calibri"/>
                <w:color w:val="000000"/>
                <w:sz w:val="16"/>
                <w:szCs w:val="16"/>
                <w:lang w:val="es-CR" w:eastAsia="es-CR"/>
              </w:rPr>
            </w:pPr>
            <w:r w:rsidRPr="00FA370C">
              <w:rPr>
                <w:rFonts w:ascii="Calibri" w:hAnsi="Calibri"/>
                <w:color w:val="000000"/>
                <w:sz w:val="16"/>
                <w:szCs w:val="16"/>
                <w:lang w:val="es-CR" w:eastAsia="es-CR"/>
              </w:rPr>
              <w:t>Asesorías área mercadeo</w:t>
            </w:r>
          </w:p>
        </w:tc>
      </w:tr>
    </w:tbl>
    <w:p w:rsidR="00FA370C" w:rsidRPr="00FA370C" w:rsidRDefault="00FA370C" w:rsidP="00FA370C">
      <w:pPr>
        <w:jc w:val="both"/>
        <w:rPr>
          <w:rFonts w:ascii="Arial" w:hAnsi="Arial" w:cs="Arial"/>
          <w:lang w:val="es-CR"/>
        </w:rPr>
      </w:pPr>
    </w:p>
    <w:p w:rsidR="00FA370C" w:rsidRPr="00FA370C" w:rsidRDefault="00FA370C" w:rsidP="00FA370C">
      <w:pPr>
        <w:ind w:left="720"/>
        <w:jc w:val="right"/>
        <w:rPr>
          <w:sz w:val="20"/>
          <w:szCs w:val="20"/>
          <w:lang w:val="es-CR"/>
        </w:rPr>
      </w:pPr>
    </w:p>
    <w:p w:rsidR="00FA370C" w:rsidRPr="00FA370C" w:rsidRDefault="00FA370C" w:rsidP="00FA370C">
      <w:pPr>
        <w:numPr>
          <w:ilvl w:val="0"/>
          <w:numId w:val="31"/>
        </w:numPr>
        <w:ind w:left="426" w:hanging="426"/>
        <w:contextualSpacing/>
        <w:jc w:val="both"/>
        <w:rPr>
          <w:rFonts w:ascii="Arial" w:hAnsi="Arial" w:cs="Arial"/>
          <w:lang w:val="es-CR"/>
        </w:rPr>
      </w:pPr>
      <w:r w:rsidRPr="00FA370C">
        <w:rPr>
          <w:rFonts w:ascii="Arial" w:hAnsi="Arial" w:cs="Arial"/>
          <w:lang w:val="es-CR"/>
        </w:rPr>
        <w:t>Recordar a la Administración que la modificación de cualquiera de las condiciones de estas plazas, sólo puede hacerse por parte del Consejo Institucional.</w:t>
      </w:r>
    </w:p>
    <w:p w:rsidR="00FA370C" w:rsidRPr="00FA370C" w:rsidRDefault="00FA370C" w:rsidP="00FA370C">
      <w:pPr>
        <w:spacing w:after="200" w:line="276" w:lineRule="auto"/>
        <w:contextualSpacing/>
        <w:jc w:val="both"/>
        <w:rPr>
          <w:rFonts w:ascii="Arial" w:hAnsi="Arial" w:cs="Arial"/>
          <w:sz w:val="20"/>
          <w:szCs w:val="20"/>
          <w:lang w:val="es-CR"/>
        </w:rPr>
      </w:pPr>
    </w:p>
    <w:p w:rsidR="00CB682F" w:rsidRDefault="007742A1" w:rsidP="00FA370C">
      <w:pPr>
        <w:numPr>
          <w:ilvl w:val="0"/>
          <w:numId w:val="31"/>
        </w:numPr>
        <w:ind w:left="426" w:hanging="426"/>
        <w:contextualSpacing/>
        <w:jc w:val="both"/>
        <w:rPr>
          <w:rFonts w:ascii="Arial" w:hAnsi="Arial" w:cs="Arial"/>
          <w:b/>
          <w:lang w:val="es-CR"/>
        </w:rPr>
      </w:pPr>
      <w:r w:rsidRPr="0026727D">
        <w:rPr>
          <w:rFonts w:ascii="Arial" w:hAnsi="Arial" w:cs="Arial"/>
          <w:lang w:val="es-CR"/>
        </w:rPr>
        <w:t xml:space="preserve">Comunicar. </w:t>
      </w:r>
      <w:r w:rsidRPr="0026727D">
        <w:rPr>
          <w:rFonts w:ascii="Arial" w:hAnsi="Arial" w:cs="Arial"/>
          <w:b/>
          <w:lang w:val="es-CR"/>
        </w:rPr>
        <w:t xml:space="preserve"> ACUERDO FIRME.</w:t>
      </w:r>
      <w:r w:rsidR="007C46B5" w:rsidRPr="0026727D">
        <w:rPr>
          <w:rFonts w:ascii="Arial" w:hAnsi="Arial" w:cs="Arial"/>
          <w:b/>
          <w:lang w:val="es-CR"/>
        </w:rPr>
        <w:t xml:space="preserve">  </w:t>
      </w:r>
    </w:p>
    <w:p w:rsidR="0026727D" w:rsidRDefault="0026727D" w:rsidP="0026727D">
      <w:pPr>
        <w:autoSpaceDE w:val="0"/>
        <w:autoSpaceDN w:val="0"/>
        <w:adjustRightInd w:val="0"/>
        <w:ind w:left="284"/>
        <w:jc w:val="both"/>
        <w:rPr>
          <w:rFonts w:ascii="Arial" w:hAnsi="Arial" w:cs="Arial"/>
          <w:b/>
          <w:lang w:val="es-CR"/>
        </w:rPr>
      </w:pPr>
    </w:p>
    <w:p w:rsidR="00FA370C" w:rsidRDefault="00FA370C" w:rsidP="0026727D">
      <w:pPr>
        <w:autoSpaceDE w:val="0"/>
        <w:autoSpaceDN w:val="0"/>
        <w:adjustRightInd w:val="0"/>
        <w:ind w:left="284"/>
        <w:jc w:val="both"/>
        <w:rPr>
          <w:rFonts w:ascii="Arial" w:hAnsi="Arial" w:cs="Arial"/>
          <w:b/>
          <w:lang w:val="es-CR"/>
        </w:rPr>
      </w:pPr>
    </w:p>
    <w:p w:rsidR="00474B22" w:rsidRPr="00FA370C" w:rsidRDefault="00FA370C" w:rsidP="00FA370C">
      <w:pPr>
        <w:rPr>
          <w:rFonts w:ascii="Arial" w:hAnsi="Arial" w:cs="Arial"/>
          <w:b/>
          <w:sz w:val="18"/>
          <w:szCs w:val="18"/>
        </w:rPr>
      </w:pPr>
      <w:r w:rsidRPr="00FA370C">
        <w:rPr>
          <w:rFonts w:ascii="Arial" w:hAnsi="Arial" w:cs="Arial"/>
          <w:b/>
          <w:sz w:val="18"/>
          <w:szCs w:val="18"/>
        </w:rPr>
        <w:t>Palabras Clave: Modificación</w:t>
      </w:r>
      <w:r w:rsidRPr="00FA370C">
        <w:rPr>
          <w:rFonts w:ascii="Arial" w:eastAsia="Cambria" w:hAnsi="Arial" w:cs="Arial"/>
          <w:b/>
          <w:sz w:val="18"/>
          <w:szCs w:val="18"/>
          <w:lang w:eastAsia="en-US"/>
        </w:rPr>
        <w:t xml:space="preserve"> – Plaza 2877 - Profesional – Administración -  </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474B22" w:rsidRPr="00474B22" w:rsidTr="00437F0F">
        <w:trPr>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437F0F">
        <w:trPr>
          <w:gridAfter w:val="1"/>
          <w:wAfter w:w="4361" w:type="dxa"/>
          <w:trHeight w:val="183"/>
        </w:trPr>
        <w:tc>
          <w:tcPr>
            <w:tcW w:w="4361" w:type="dxa"/>
          </w:tcPr>
          <w:p w:rsidR="00474B22" w:rsidRDefault="00474B22" w:rsidP="00143E80">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803BB3" w:rsidRDefault="006D0052" w:rsidP="00803BB3">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r w:rsidR="00803BB3">
              <w:rPr>
                <w:rFonts w:ascii="Arial" w:eastAsia="Cambria" w:hAnsi="Arial" w:cs="Arial"/>
                <w:b/>
                <w:sz w:val="16"/>
                <w:szCs w:val="16"/>
                <w:lang w:val="es-ES_tradnl" w:eastAsia="en-US"/>
              </w:rPr>
              <w:t>Vicerrectoría Docencia</w:t>
            </w:r>
          </w:p>
          <w:p w:rsidR="00803BB3" w:rsidRDefault="00803BB3" w:rsidP="00803BB3">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803BB3" w:rsidRDefault="00803BB3" w:rsidP="00803BB3">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803BB3" w:rsidRDefault="00803BB3" w:rsidP="00803BB3">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803BB3" w:rsidRDefault="00803BB3" w:rsidP="00803BB3">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803BB3" w:rsidRDefault="00803BB3" w:rsidP="00803BB3">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803BB3" w:rsidRDefault="00803BB3" w:rsidP="00803BB3">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6D0052" w:rsidRPr="00474B22" w:rsidRDefault="006D0052" w:rsidP="00803BB3">
            <w:pPr>
              <w:jc w:val="both"/>
              <w:rPr>
                <w:rFonts w:ascii="Arial" w:eastAsia="Cambria" w:hAnsi="Arial" w:cs="Arial"/>
                <w:b/>
                <w:sz w:val="16"/>
                <w:szCs w:val="16"/>
                <w:lang w:val="es-ES_tradnl" w:eastAsia="en-US"/>
              </w:rPr>
            </w:pPr>
          </w:p>
        </w:tc>
        <w:tc>
          <w:tcPr>
            <w:tcW w:w="4361" w:type="dxa"/>
          </w:tcPr>
          <w:p w:rsidR="00803BB3" w:rsidRPr="00474B22" w:rsidRDefault="00803BB3" w:rsidP="00803BB3">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Oficina Asesoría Legal </w:t>
            </w:r>
          </w:p>
          <w:p w:rsidR="00803BB3" w:rsidRPr="00474B22" w:rsidRDefault="00803BB3" w:rsidP="00803BB3">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803BB3" w:rsidRPr="00474B22" w:rsidRDefault="00803BB3" w:rsidP="00803BB3">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803BB3" w:rsidRPr="00474B22" w:rsidRDefault="00803BB3" w:rsidP="00803BB3">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803BB3" w:rsidRDefault="00803BB3" w:rsidP="00803BB3">
            <w:pPr>
              <w:rPr>
                <w:rFonts w:ascii="Arial" w:eastAsia="Cambria" w:hAnsi="Arial" w:cs="Arial"/>
                <w:b/>
                <w:sz w:val="16"/>
                <w:szCs w:val="16"/>
                <w:lang w:val="es-CR" w:eastAsia="en-US"/>
              </w:rPr>
            </w:pPr>
            <w:r w:rsidRPr="00474B22">
              <w:rPr>
                <w:rFonts w:ascii="Arial" w:eastAsia="Cambria" w:hAnsi="Arial" w:cs="Arial"/>
                <w:b/>
                <w:sz w:val="16"/>
                <w:szCs w:val="16"/>
                <w:lang w:val="es-CR" w:eastAsia="en-US"/>
              </w:rPr>
              <w:t>FEITEC</w:t>
            </w:r>
          </w:p>
          <w:p w:rsidR="00CB682F" w:rsidRPr="00474B22" w:rsidRDefault="00CB682F" w:rsidP="006442DF">
            <w:pPr>
              <w:rPr>
                <w:rFonts w:ascii="Arial" w:eastAsia="Cambria" w:hAnsi="Arial" w:cs="Arial"/>
                <w:b/>
                <w:sz w:val="16"/>
                <w:szCs w:val="16"/>
                <w:lang w:val="es-CR"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p w:rsidR="008D0FEC" w:rsidRDefault="008D0FEC" w:rsidP="008D0FEC">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DCB" w:rsidRDefault="001E3DCB">
      <w:r>
        <w:separator/>
      </w:r>
    </w:p>
  </w:endnote>
  <w:endnote w:type="continuationSeparator" w:id="0">
    <w:p w:rsidR="001E3DCB" w:rsidRDefault="001E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DCB" w:rsidRDefault="001E3DCB">
      <w:r>
        <w:separator/>
      </w:r>
    </w:p>
  </w:footnote>
  <w:footnote w:type="continuationSeparator" w:id="0">
    <w:p w:rsidR="001E3DCB" w:rsidRDefault="001E3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442DF">
      <w:rPr>
        <w:rFonts w:ascii="Arial" w:eastAsia="Cambria" w:hAnsi="Arial" w:cs="Arial"/>
        <w:i/>
        <w:sz w:val="18"/>
        <w:szCs w:val="18"/>
        <w:lang w:val="es-ES_tradnl" w:eastAsia="x-none"/>
      </w:rPr>
      <w:t>1</w:t>
    </w:r>
    <w:r w:rsidR="0045318C">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6442DF">
      <w:rPr>
        <w:rFonts w:ascii="Arial" w:eastAsia="Cambria" w:hAnsi="Arial" w:cs="Arial"/>
        <w:i/>
        <w:sz w:val="18"/>
        <w:szCs w:val="18"/>
        <w:lang w:val="es-ES_tradnl" w:eastAsia="x-none"/>
      </w:rPr>
      <w:t>1</w:t>
    </w:r>
    <w:r w:rsidR="00FA370C">
      <w:rPr>
        <w:rFonts w:ascii="Arial" w:eastAsia="Cambria" w:hAnsi="Arial" w:cs="Arial"/>
        <w:i/>
        <w:sz w:val="18"/>
        <w:szCs w:val="18"/>
        <w:lang w:val="es-ES_tradnl" w:eastAsia="x-none"/>
      </w:rPr>
      <w:t>4</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803BB3">
      <w:rPr>
        <w:rFonts w:ascii="Arial" w:eastAsia="Cambria" w:hAnsi="Arial" w:cs="Arial"/>
        <w:i/>
        <w:sz w:val="18"/>
        <w:szCs w:val="18"/>
        <w:lang w:val="es-ES_tradnl" w:eastAsia="x-none"/>
      </w:rPr>
      <w:t>2</w:t>
    </w:r>
    <w:r w:rsidR="0045318C">
      <w:rPr>
        <w:rFonts w:ascii="Arial" w:eastAsia="Cambria" w:hAnsi="Arial" w:cs="Arial"/>
        <w:i/>
        <w:sz w:val="18"/>
        <w:szCs w:val="18"/>
        <w:lang w:val="es-ES_tradnl" w:eastAsia="x-none"/>
      </w:rPr>
      <w:t>9</w:t>
    </w:r>
    <w:r w:rsidR="006442DF">
      <w:rPr>
        <w:rFonts w:ascii="Arial" w:eastAsia="Cambria" w:hAnsi="Arial" w:cs="Arial"/>
        <w:i/>
        <w:sz w:val="18"/>
        <w:szCs w:val="18"/>
        <w:lang w:val="es-ES_tradnl" w:eastAsia="x-none"/>
      </w:rPr>
      <w:t xml:space="preserve"> de marzo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FA370C">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B30D4D"/>
    <w:multiLevelType w:val="hybridMultilevel"/>
    <w:tmpl w:val="68249218"/>
    <w:lvl w:ilvl="0" w:tplc="50FEA78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DB4C14"/>
    <w:multiLevelType w:val="hybridMultilevel"/>
    <w:tmpl w:val="7DEE8AB0"/>
    <w:lvl w:ilvl="0" w:tplc="162E3384">
      <w:start w:val="1"/>
      <w:numFmt w:val="decimal"/>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5394FBB"/>
    <w:multiLevelType w:val="hybridMultilevel"/>
    <w:tmpl w:val="23A60498"/>
    <w:lvl w:ilvl="0" w:tplc="283E2FAC">
      <w:start w:val="1"/>
      <w:numFmt w:val="lowerLetter"/>
      <w:lvlText w:val="%1."/>
      <w:lvlJc w:val="left"/>
      <w:pPr>
        <w:tabs>
          <w:tab w:val="num" w:pos="1440"/>
        </w:tabs>
        <w:ind w:left="1440" w:hanging="36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F13B2A"/>
    <w:multiLevelType w:val="multilevel"/>
    <w:tmpl w:val="D1F654A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6" w15:restartNumberingAfterBreak="0">
    <w:nsid w:val="19410AB5"/>
    <w:multiLevelType w:val="hybridMultilevel"/>
    <w:tmpl w:val="CFA697B8"/>
    <w:lvl w:ilvl="0" w:tplc="14C8A84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BFC3EBE"/>
    <w:multiLevelType w:val="hybridMultilevel"/>
    <w:tmpl w:val="868E5AEA"/>
    <w:lvl w:ilvl="0" w:tplc="50FEA782">
      <w:start w:val="1"/>
      <w:numFmt w:val="lowerLetter"/>
      <w:lvlText w:val="%1."/>
      <w:lvlJc w:val="left"/>
      <w:pPr>
        <w:ind w:left="360" w:hanging="360"/>
      </w:pPr>
      <w:rPr>
        <w:rFonts w:hint="default"/>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227D5D73"/>
    <w:multiLevelType w:val="hybridMultilevel"/>
    <w:tmpl w:val="BA841164"/>
    <w:lvl w:ilvl="0" w:tplc="F37459BE">
      <w:start w:val="2"/>
      <w:numFmt w:val="decimal"/>
      <w:lvlText w:val="%1."/>
      <w:lvlJc w:val="left"/>
      <w:pPr>
        <w:ind w:left="6239" w:hanging="852"/>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6AF40FA"/>
    <w:multiLevelType w:val="hybridMultilevel"/>
    <w:tmpl w:val="D0AAC59E"/>
    <w:lvl w:ilvl="0" w:tplc="140A000F">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7D2700B"/>
    <w:multiLevelType w:val="hybridMultilevel"/>
    <w:tmpl w:val="13562FEA"/>
    <w:lvl w:ilvl="0" w:tplc="2D28D13C">
      <w:start w:val="1"/>
      <w:numFmt w:val="decimal"/>
      <w:lvlText w:val="%1."/>
      <w:lvlJc w:val="left"/>
      <w:pPr>
        <w:tabs>
          <w:tab w:val="num" w:pos="825"/>
        </w:tabs>
        <w:ind w:left="825" w:hanging="465"/>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233555"/>
    <w:multiLevelType w:val="hybridMultilevel"/>
    <w:tmpl w:val="84F05C7A"/>
    <w:lvl w:ilvl="0" w:tplc="0BC04576">
      <w:start w:val="1"/>
      <w:numFmt w:val="lowerLetter"/>
      <w:lvlText w:val="%1."/>
      <w:lvlJc w:val="left"/>
      <w:pPr>
        <w:ind w:left="360" w:hanging="360"/>
      </w:pPr>
      <w:rPr>
        <w:rFonts w:hint="default"/>
        <w:b w:val="0"/>
        <w:i w:val="0"/>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4DD0577"/>
    <w:multiLevelType w:val="hybridMultilevel"/>
    <w:tmpl w:val="82AEBC50"/>
    <w:lvl w:ilvl="0" w:tplc="D852576E">
      <w:start w:val="1"/>
      <w:numFmt w:val="lowerLetter"/>
      <w:lvlText w:val="%1."/>
      <w:lvlJc w:val="left"/>
      <w:pPr>
        <w:ind w:left="720" w:hanging="360"/>
      </w:pPr>
      <w:rPr>
        <w:rFonts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4E260A1"/>
    <w:multiLevelType w:val="hybridMultilevel"/>
    <w:tmpl w:val="03286A06"/>
    <w:lvl w:ilvl="0" w:tplc="C47A1C6E">
      <w:start w:val="1"/>
      <w:numFmt w:val="lowerLetter"/>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99C067A"/>
    <w:multiLevelType w:val="hybridMultilevel"/>
    <w:tmpl w:val="7054D8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10120AB"/>
    <w:multiLevelType w:val="hybridMultilevel"/>
    <w:tmpl w:val="5BF414BC"/>
    <w:lvl w:ilvl="0" w:tplc="ADDEBCD0">
      <w:start w:val="1"/>
      <w:numFmt w:val="bullet"/>
      <w:lvlText w:val=""/>
      <w:lvlJc w:val="left"/>
      <w:pPr>
        <w:ind w:left="720" w:hanging="360"/>
      </w:pPr>
      <w:rPr>
        <w:rFonts w:ascii="Symbol" w:hAnsi="Symbol" w:hint="default"/>
        <w:b/>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F6660C0"/>
    <w:multiLevelType w:val="hybridMultilevel"/>
    <w:tmpl w:val="9306BCA6"/>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 w15:restartNumberingAfterBreak="0">
    <w:nsid w:val="74DA320A"/>
    <w:multiLevelType w:val="hybridMultilevel"/>
    <w:tmpl w:val="1C3815D4"/>
    <w:lvl w:ilvl="0" w:tplc="DB1C68F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51210CE"/>
    <w:multiLevelType w:val="hybridMultilevel"/>
    <w:tmpl w:val="79645ADE"/>
    <w:lvl w:ilvl="0" w:tplc="69600E3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60A37EB"/>
    <w:multiLevelType w:val="hybridMultilevel"/>
    <w:tmpl w:val="A19434C4"/>
    <w:lvl w:ilvl="0" w:tplc="A97A485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AED3157"/>
    <w:multiLevelType w:val="hybridMultilevel"/>
    <w:tmpl w:val="01965802"/>
    <w:lvl w:ilvl="0" w:tplc="D1449BC2">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0"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EBC588E"/>
    <w:multiLevelType w:val="hybridMultilevel"/>
    <w:tmpl w:val="586A3188"/>
    <w:lvl w:ilvl="0" w:tplc="83EA1C6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3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5"/>
  </w:num>
  <w:num w:numId="6">
    <w:abstractNumId w:val="6"/>
  </w:num>
  <w:num w:numId="7">
    <w:abstractNumId w:val="1"/>
  </w:num>
  <w:num w:numId="8">
    <w:abstractNumId w:val="28"/>
  </w:num>
  <w:num w:numId="9">
    <w:abstractNumId w:val="27"/>
  </w:num>
  <w:num w:numId="10">
    <w:abstractNumId w:val="16"/>
  </w:num>
  <w:num w:numId="11">
    <w:abstractNumId w:val="23"/>
  </w:num>
  <w:num w:numId="12">
    <w:abstractNumId w:val="7"/>
  </w:num>
  <w:num w:numId="13">
    <w:abstractNumId w:val="19"/>
  </w:num>
  <w:num w:numId="14">
    <w:abstractNumId w:val="18"/>
  </w:num>
  <w:num w:numId="15">
    <w:abstractNumId w:val="21"/>
  </w:num>
  <w:num w:numId="16">
    <w:abstractNumId w:val="22"/>
  </w:num>
  <w:num w:numId="17">
    <w:abstractNumId w:val="3"/>
  </w:num>
  <w:num w:numId="18">
    <w:abstractNumId w:val="9"/>
  </w:num>
  <w:num w:numId="19">
    <w:abstractNumId w:val="13"/>
  </w:num>
  <w:num w:numId="20">
    <w:abstractNumId w:val="12"/>
  </w:num>
  <w:num w:numId="21">
    <w:abstractNumId w:val="11"/>
  </w:num>
  <w:num w:numId="22">
    <w:abstractNumId w:val="20"/>
  </w:num>
  <w:num w:numId="23">
    <w:abstractNumId w:val="10"/>
  </w:num>
  <w:num w:numId="24">
    <w:abstractNumId w:val="31"/>
  </w:num>
  <w:num w:numId="25">
    <w:abstractNumId w:val="8"/>
  </w:num>
  <w:num w:numId="26">
    <w:abstractNumId w:val="24"/>
  </w:num>
  <w:num w:numId="27">
    <w:abstractNumId w:val="4"/>
  </w:num>
  <w:num w:numId="28">
    <w:abstractNumId w:val="29"/>
  </w:num>
  <w:num w:numId="29">
    <w:abstractNumId w:val="5"/>
  </w:num>
  <w:num w:numId="30">
    <w:abstractNumId w:val="15"/>
  </w:num>
  <w:num w:numId="31">
    <w:abstractNumId w:val="17"/>
  </w:num>
  <w:num w:numId="3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59F5"/>
    <w:rsid w:val="00036DAC"/>
    <w:rsid w:val="000401D6"/>
    <w:rsid w:val="000414FE"/>
    <w:rsid w:val="000428F8"/>
    <w:rsid w:val="000437DE"/>
    <w:rsid w:val="00043B22"/>
    <w:rsid w:val="00047F2B"/>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50F07"/>
    <w:rsid w:val="00153E19"/>
    <w:rsid w:val="00155121"/>
    <w:rsid w:val="00156111"/>
    <w:rsid w:val="001644B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08C0"/>
    <w:rsid w:val="001E11D4"/>
    <w:rsid w:val="001E3DCB"/>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2233"/>
    <w:rsid w:val="003E2804"/>
    <w:rsid w:val="003E369B"/>
    <w:rsid w:val="003E6A14"/>
    <w:rsid w:val="003E7EDF"/>
    <w:rsid w:val="003F0204"/>
    <w:rsid w:val="003F7807"/>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B2823"/>
    <w:rsid w:val="005B465B"/>
    <w:rsid w:val="005C0755"/>
    <w:rsid w:val="005C2C87"/>
    <w:rsid w:val="005C52A3"/>
    <w:rsid w:val="005C56A6"/>
    <w:rsid w:val="005D234B"/>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42DF"/>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D38"/>
    <w:rsid w:val="006B20B4"/>
    <w:rsid w:val="006B4FBB"/>
    <w:rsid w:val="006B5EC0"/>
    <w:rsid w:val="006B7D15"/>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900ABC"/>
    <w:rsid w:val="00902B37"/>
    <w:rsid w:val="0090700F"/>
    <w:rsid w:val="00911F70"/>
    <w:rsid w:val="009120EB"/>
    <w:rsid w:val="00914F38"/>
    <w:rsid w:val="00917F97"/>
    <w:rsid w:val="00924AA2"/>
    <w:rsid w:val="009258C6"/>
    <w:rsid w:val="00930A02"/>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71F9"/>
    <w:rsid w:val="00C97317"/>
    <w:rsid w:val="00CA3E94"/>
    <w:rsid w:val="00CA406B"/>
    <w:rsid w:val="00CB0CB0"/>
    <w:rsid w:val="00CB0ED4"/>
    <w:rsid w:val="00CB1EFF"/>
    <w:rsid w:val="00CB4C4E"/>
    <w:rsid w:val="00CB682F"/>
    <w:rsid w:val="00CB7A61"/>
    <w:rsid w:val="00CC64CA"/>
    <w:rsid w:val="00CC68BB"/>
    <w:rsid w:val="00CD4387"/>
    <w:rsid w:val="00CE0215"/>
    <w:rsid w:val="00CE6A7A"/>
    <w:rsid w:val="00CF025B"/>
    <w:rsid w:val="00CF0602"/>
    <w:rsid w:val="00CF1711"/>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34D3"/>
    <w:rsid w:val="00DC495A"/>
    <w:rsid w:val="00DC5266"/>
    <w:rsid w:val="00DD46A3"/>
    <w:rsid w:val="00DD50B4"/>
    <w:rsid w:val="00DD739B"/>
    <w:rsid w:val="00DD760F"/>
    <w:rsid w:val="00DE4B08"/>
    <w:rsid w:val="00DE7014"/>
    <w:rsid w:val="00DE7BB8"/>
    <w:rsid w:val="00DF2BAA"/>
    <w:rsid w:val="00DF2F90"/>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14C11-B8A6-4EC0-A60B-4CD82714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687</Words>
  <Characters>3782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53</cp:revision>
  <cp:lastPrinted>2017-03-29T21:10:00Z</cp:lastPrinted>
  <dcterms:created xsi:type="dcterms:W3CDTF">2016-10-05T20:00:00Z</dcterms:created>
  <dcterms:modified xsi:type="dcterms:W3CDTF">2017-03-29T21:11:00Z</dcterms:modified>
</cp:coreProperties>
</file>