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D234B">
        <w:rPr>
          <w:rFonts w:ascii="Arial" w:hAnsi="Arial" w:cs="Arial"/>
          <w:b/>
          <w:bCs/>
          <w:iCs/>
          <w:sz w:val="26"/>
          <w:szCs w:val="22"/>
          <w:lang w:val="es-CR"/>
        </w:rPr>
        <w:t>121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6B4FBB" w:rsidRDefault="005D234B" w:rsidP="005D234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5D234B" w:rsidRDefault="005D234B" w:rsidP="005D234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Departamento de Aprovisionamiento</w:t>
            </w:r>
          </w:p>
          <w:p w:rsidR="005D234B" w:rsidRPr="006B4FBB" w:rsidRDefault="005D234B" w:rsidP="005D234B">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442DF" w:rsidP="006442D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D234B" w:rsidRPr="005D234B" w:rsidRDefault="007742A1" w:rsidP="005D234B">
            <w:pPr>
              <w:jc w:val="both"/>
              <w:rPr>
                <w:rFonts w:ascii="Arial" w:eastAsia="MS Mincho" w:hAnsi="Arial" w:cs="Arial"/>
                <w:b/>
                <w:iCs/>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12</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5D234B">
              <w:rPr>
                <w:rFonts w:ascii="Arial" w:eastAsia="Calibri" w:hAnsi="Arial" w:cs="Arial"/>
                <w:b/>
                <w:sz w:val="22"/>
                <w:szCs w:val="22"/>
              </w:rPr>
              <w:t>3</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6442DF">
              <w:rPr>
                <w:rFonts w:ascii="Arial" w:eastAsia="Calibri" w:hAnsi="Arial" w:cs="Arial"/>
                <w:b/>
                <w:sz w:val="22"/>
                <w:szCs w:val="22"/>
              </w:rPr>
              <w:t>08</w:t>
            </w:r>
            <w:r w:rsidRPr="00D958BC">
              <w:rPr>
                <w:rFonts w:ascii="Arial" w:eastAsia="Calibri" w:hAnsi="Arial" w:cs="Arial"/>
                <w:b/>
                <w:sz w:val="22"/>
                <w:szCs w:val="22"/>
              </w:rPr>
              <w:t xml:space="preserve"> de </w:t>
            </w:r>
            <w:r w:rsidR="006442DF">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5D234B" w:rsidRPr="005D234B">
              <w:rPr>
                <w:rFonts w:ascii="Arial" w:hAnsi="Arial" w:cs="Arial"/>
                <w:b/>
                <w:sz w:val="22"/>
                <w:szCs w:val="22"/>
              </w:rPr>
              <w:t>Informe Declaratoria</w:t>
            </w:r>
            <w:r w:rsidR="005D234B" w:rsidRPr="005D234B">
              <w:rPr>
                <w:rFonts w:ascii="Arial" w:eastAsia="MS Mincho" w:hAnsi="Arial" w:cs="Arial"/>
                <w:b/>
                <w:iCs/>
                <w:sz w:val="22"/>
                <w:szCs w:val="22"/>
                <w:lang w:val="es-CR"/>
              </w:rPr>
              <w:t xml:space="preserve"> Desierta </w:t>
            </w:r>
            <w:r w:rsidR="005D234B" w:rsidRPr="005D234B">
              <w:rPr>
                <w:rFonts w:ascii="Arial" w:eastAsia="MS Mincho" w:hAnsi="Arial" w:cs="Arial"/>
                <w:b/>
                <w:sz w:val="22"/>
                <w:szCs w:val="22"/>
                <w:lang w:val="es-CR"/>
              </w:rPr>
              <w:t>Licitación Pública Nº 2016LN-000003-APITCR “Servicio de Aseo y Limpieza Campus Cartago”</w:t>
            </w:r>
          </w:p>
          <w:p w:rsidR="001E08C0" w:rsidRPr="005D234B" w:rsidRDefault="001E08C0" w:rsidP="005D234B">
            <w:pPr>
              <w:ind w:left="67"/>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5D234B" w:rsidRPr="005D234B" w:rsidRDefault="005D234B" w:rsidP="005D234B">
      <w:pPr>
        <w:jc w:val="both"/>
        <w:outlineLvl w:val="0"/>
        <w:rPr>
          <w:rFonts w:ascii="Arial" w:hAnsi="Arial" w:cs="Arial"/>
          <w:b/>
        </w:rPr>
      </w:pPr>
      <w:r w:rsidRPr="005D234B">
        <w:rPr>
          <w:rFonts w:ascii="Arial" w:hAnsi="Arial" w:cs="Arial"/>
          <w:b/>
        </w:rPr>
        <w:t>RESULTANDO QUE:</w:t>
      </w:r>
    </w:p>
    <w:p w:rsidR="005D234B" w:rsidRPr="005D234B" w:rsidRDefault="005D234B" w:rsidP="005D234B">
      <w:pPr>
        <w:jc w:val="both"/>
        <w:outlineLvl w:val="0"/>
        <w:rPr>
          <w:rFonts w:ascii="Arial" w:hAnsi="Arial" w:cs="Arial"/>
          <w:b/>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El Estatuto Orgánico del ITCR, en el artículo 18, inciso h) establece:</w:t>
      </w:r>
    </w:p>
    <w:p w:rsidR="005D234B" w:rsidRPr="005D234B" w:rsidRDefault="005D234B" w:rsidP="005D234B">
      <w:pPr>
        <w:ind w:left="284" w:right="-1"/>
        <w:contextualSpacing/>
        <w:jc w:val="both"/>
        <w:rPr>
          <w:rFonts w:ascii="Arial" w:eastAsia="Calibri" w:hAnsi="Arial" w:cs="Arial"/>
          <w:bCs/>
        </w:rPr>
      </w:pPr>
    </w:p>
    <w:p w:rsidR="005D234B" w:rsidRPr="005D234B" w:rsidRDefault="005D234B" w:rsidP="005D234B">
      <w:pPr>
        <w:ind w:left="709" w:right="284"/>
        <w:contextualSpacing/>
        <w:jc w:val="both"/>
        <w:rPr>
          <w:rFonts w:ascii="Arial" w:eastAsia="Calibri" w:hAnsi="Arial" w:cs="Arial"/>
          <w:bCs/>
          <w:i/>
          <w:sz w:val="22"/>
          <w:szCs w:val="22"/>
        </w:rPr>
      </w:pPr>
      <w:r w:rsidRPr="005D234B">
        <w:rPr>
          <w:rFonts w:ascii="Arial" w:eastAsia="Calibri" w:hAnsi="Arial" w:cs="Arial"/>
          <w:bCs/>
          <w:i/>
          <w:sz w:val="22"/>
          <w:szCs w:val="22"/>
        </w:rPr>
        <w:t>“Son funciones del Consejo Institucional:</w:t>
      </w:r>
    </w:p>
    <w:p w:rsidR="005D234B" w:rsidRPr="005D234B" w:rsidRDefault="005D234B" w:rsidP="005D234B">
      <w:pPr>
        <w:ind w:left="709" w:right="284"/>
        <w:jc w:val="both"/>
        <w:rPr>
          <w:rFonts w:ascii="Arial" w:hAnsi="Arial" w:cs="Arial"/>
          <w:bCs/>
          <w:i/>
          <w:sz w:val="22"/>
          <w:szCs w:val="22"/>
        </w:rPr>
      </w:pPr>
    </w:p>
    <w:p w:rsidR="005D234B" w:rsidRPr="005D234B" w:rsidRDefault="005D234B" w:rsidP="005D234B">
      <w:pPr>
        <w:ind w:left="709" w:right="284"/>
        <w:jc w:val="both"/>
        <w:rPr>
          <w:rFonts w:ascii="Arial" w:hAnsi="Arial" w:cs="Arial"/>
          <w:bCs/>
          <w:i/>
          <w:sz w:val="22"/>
          <w:szCs w:val="22"/>
        </w:rPr>
      </w:pPr>
      <w:proofErr w:type="gramStart"/>
      <w:r w:rsidRPr="005D234B">
        <w:rPr>
          <w:rFonts w:ascii="Arial" w:hAnsi="Arial" w:cs="Arial"/>
          <w:bCs/>
          <w:i/>
          <w:sz w:val="22"/>
          <w:szCs w:val="22"/>
        </w:rPr>
        <w:t>a.</w:t>
      </w:r>
      <w:proofErr w:type="gramEnd"/>
      <w:r w:rsidRPr="005D234B">
        <w:rPr>
          <w:rFonts w:ascii="Arial" w:hAnsi="Arial" w:cs="Arial"/>
          <w:bCs/>
          <w:i/>
          <w:sz w:val="22"/>
          <w:szCs w:val="22"/>
        </w:rPr>
        <w:t xml:space="preserve">    …</w:t>
      </w:r>
    </w:p>
    <w:p w:rsidR="005D234B" w:rsidRPr="005D234B" w:rsidRDefault="005D234B" w:rsidP="005D234B">
      <w:pPr>
        <w:ind w:left="993" w:right="284" w:hanging="284"/>
        <w:jc w:val="both"/>
        <w:rPr>
          <w:rFonts w:ascii="Arial" w:hAnsi="Arial" w:cs="Arial"/>
          <w:i/>
          <w:sz w:val="22"/>
          <w:szCs w:val="22"/>
        </w:rPr>
      </w:pPr>
      <w:proofErr w:type="gramStart"/>
      <w:r w:rsidRPr="005D234B">
        <w:rPr>
          <w:rFonts w:ascii="Arial" w:hAnsi="Arial" w:cs="Arial"/>
          <w:bCs/>
          <w:i/>
          <w:sz w:val="22"/>
          <w:szCs w:val="22"/>
        </w:rPr>
        <w:t>h.  Decidir</w:t>
      </w:r>
      <w:proofErr w:type="gramEnd"/>
      <w:r w:rsidRPr="005D234B">
        <w:rPr>
          <w:rFonts w:ascii="Arial" w:hAnsi="Arial" w:cs="Arial"/>
          <w:bCs/>
          <w:i/>
          <w:sz w:val="22"/>
          <w:szCs w:val="22"/>
        </w:rPr>
        <w:t xml:space="preserve"> sobre las licitaciones públicas según lo estipulado en el reglamento correspondiente</w:t>
      </w:r>
      <w:r w:rsidRPr="005D234B">
        <w:rPr>
          <w:rFonts w:ascii="Arial" w:hAnsi="Arial" w:cs="Arial"/>
          <w:i/>
          <w:sz w:val="22"/>
          <w:szCs w:val="22"/>
        </w:rPr>
        <w:t>.”</w:t>
      </w:r>
    </w:p>
    <w:p w:rsidR="005D234B" w:rsidRPr="005D234B" w:rsidRDefault="005D234B" w:rsidP="005D234B">
      <w:pPr>
        <w:jc w:val="both"/>
        <w:rPr>
          <w:rFonts w:ascii="Arial" w:hAnsi="Arial" w:cs="Arial"/>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 xml:space="preserve">La Secretaría del Consejo Institucional recibió el oficio AP-190-2017, con fecha de recibido 28 de febrero del 2017, suscrito por la Licda. Kattia Calderón Mora, Directora, Departamento de Aprovisionamiento, dirigido </w:t>
      </w:r>
      <w:proofErr w:type="gramStart"/>
      <w:r w:rsidRPr="005D234B">
        <w:rPr>
          <w:rFonts w:ascii="Arial" w:hAnsi="Arial" w:cs="Arial"/>
        </w:rPr>
        <w:t>al  Dr</w:t>
      </w:r>
      <w:proofErr w:type="gramEnd"/>
      <w:r w:rsidRPr="005D234B">
        <w:rPr>
          <w:rFonts w:ascii="Arial" w:hAnsi="Arial" w:cs="Arial"/>
        </w:rPr>
        <w:t>. Luis Humberto Villalta, Vicerrector de Administración, con copia al Dr. Bernal Martínez,  Coordinador de la Comisión de Planificación y Administración, en el cual adjunta el Informe de Adjudicación y Expediente de la Licitación Pública Nº 2016LN-000003-APITCR “Servicio de Aseo y Limpieza Campus Cartago”, para el visto bueno respectivo y remisión al Consejo Institucional. (Anexo 1)</w:t>
      </w:r>
    </w:p>
    <w:p w:rsidR="005D234B" w:rsidRPr="005D234B" w:rsidRDefault="005D234B" w:rsidP="005D234B">
      <w:pPr>
        <w:jc w:val="both"/>
        <w:rPr>
          <w:rFonts w:ascii="Arial" w:hAnsi="Arial" w:cs="Arial"/>
          <w:iCs/>
          <w:color w:val="000000"/>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La Secretaría del Consejo Institucional recibió el oficio VAD-147-2017, con fecha de recibido 02 de marzo  del 2017, suscrito por el Dr. Luis Humberto Villalta, Vicerrector de Administración, dirigido  al Dr. Bernal Martínez,  Coordinador de la Comisión de Planificación y Administración, en el cual remite el Informe de adjudicación y Expediente de la Licitación Pública Nº 2016LN-000003-APITCR “Servicio de Aseo y Limpieza Campus Cartago”, para el visto bueno respectivo y remisión al Consejo Institucional. (Anexo 2)</w:t>
      </w:r>
    </w:p>
    <w:p w:rsidR="005D234B" w:rsidRPr="005D234B" w:rsidRDefault="005D234B" w:rsidP="005D234B">
      <w:pPr>
        <w:jc w:val="both"/>
        <w:rPr>
          <w:rFonts w:ascii="Arial" w:hAnsi="Arial" w:cs="Arial"/>
          <w:iCs/>
          <w:color w:val="000000"/>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 xml:space="preserve">La Comisión de Planificación y Administración en la Reunión No. 713-2017, celebrada el 06 de marzo del año en curso, recibe la visita de la Licda. Kattia Calderón Mora, Directora del Departamento de Aprovisionamiento y a la MBA. </w:t>
      </w:r>
      <w:r w:rsidRPr="005D234B">
        <w:rPr>
          <w:rFonts w:ascii="Arial" w:hAnsi="Arial" w:cs="Arial"/>
        </w:rPr>
        <w:lastRenderedPageBreak/>
        <w:t>Milena Bermúdez Badilla, Encargada de Licitaciones, con el fin de aclarar dudas sobre la Licitación Pública Nº 2016LN-000003-APITCR “Servicio de Aseo y Limpieza Campus Cartago.</w:t>
      </w:r>
    </w:p>
    <w:p w:rsidR="005D234B" w:rsidRPr="005D234B" w:rsidRDefault="005D234B" w:rsidP="005D234B">
      <w:pPr>
        <w:ind w:left="708"/>
        <w:rPr>
          <w:i/>
          <w:color w:val="000000"/>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En esta reunión se expone ampliamente el informe; asimismo comunican que se recibió nota del Consorcio A&amp;C, con fecha 02 de marzo del 2017, en la que se solicita se reevalúen los criterios sostenibles de su oferta. Considera el oferente que se omitieron puntos que los ubican en desventaja y les perjudica directamente al obtener menos calificación, dicho</w:t>
      </w:r>
      <w:r>
        <w:rPr>
          <w:rFonts w:ascii="Arial" w:hAnsi="Arial" w:cs="Arial"/>
        </w:rPr>
        <w:t>s rubros son: Programa de Gestió</w:t>
      </w:r>
      <w:r w:rsidRPr="005D234B">
        <w:rPr>
          <w:rFonts w:ascii="Arial" w:hAnsi="Arial" w:cs="Arial"/>
        </w:rPr>
        <w:t xml:space="preserve">n </w:t>
      </w:r>
      <w:r>
        <w:rPr>
          <w:rFonts w:ascii="Arial" w:hAnsi="Arial" w:cs="Arial"/>
        </w:rPr>
        <w:t>A</w:t>
      </w:r>
      <w:r w:rsidRPr="005D234B">
        <w:rPr>
          <w:rFonts w:ascii="Arial" w:hAnsi="Arial" w:cs="Arial"/>
        </w:rPr>
        <w:t>mbiental y reconocimiento internacional en temas ambientales o salud ocupacional.</w:t>
      </w:r>
    </w:p>
    <w:p w:rsidR="005D234B" w:rsidRPr="005D234B" w:rsidRDefault="005D234B" w:rsidP="005D234B">
      <w:pPr>
        <w:jc w:val="both"/>
        <w:rPr>
          <w:rFonts w:ascii="Arial" w:hAnsi="Arial" w:cs="Arial"/>
        </w:rPr>
      </w:pPr>
    </w:p>
    <w:p w:rsidR="005D234B" w:rsidRPr="005D234B" w:rsidRDefault="005D234B" w:rsidP="005D234B">
      <w:pPr>
        <w:tabs>
          <w:tab w:val="num" w:pos="465"/>
        </w:tabs>
        <w:ind w:left="426"/>
        <w:jc w:val="both"/>
        <w:rPr>
          <w:rFonts w:ascii="Arial" w:hAnsi="Arial" w:cs="Arial"/>
          <w:iCs/>
          <w:color w:val="000000"/>
        </w:rPr>
      </w:pPr>
      <w:r w:rsidRPr="005D234B">
        <w:rPr>
          <w:rFonts w:ascii="Arial" w:hAnsi="Arial" w:cs="Arial"/>
          <w:iCs/>
          <w:color w:val="000000"/>
        </w:rPr>
        <w:t xml:space="preserve">Después de una amplia discusión, los integrantes de la Comisión de Planificación, solicitan a los responsables analizar si lo que procede es mantener el acto de adjudicación o declararla desierta. </w:t>
      </w:r>
    </w:p>
    <w:p w:rsidR="005D234B" w:rsidRPr="005D234B" w:rsidRDefault="005D234B" w:rsidP="005D234B">
      <w:pPr>
        <w:tabs>
          <w:tab w:val="num" w:pos="465"/>
        </w:tabs>
        <w:jc w:val="both"/>
        <w:rPr>
          <w:rFonts w:ascii="Arial" w:hAnsi="Arial" w:cs="Arial"/>
          <w:iCs/>
          <w:color w:val="000000"/>
          <w:sz w:val="22"/>
          <w:szCs w:val="22"/>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 xml:space="preserve">La Secretaría del Consejo Institucional recibió el Oficio AP-248-2017, con fecha de recibido 06 de marzo del 2017, suscrito por la Licda. Kattia Calderón Mora, Directora, Departamento de Aprovisionamiento, dirigido </w:t>
      </w:r>
      <w:proofErr w:type="gramStart"/>
      <w:r w:rsidRPr="005D234B">
        <w:rPr>
          <w:rFonts w:ascii="Arial" w:hAnsi="Arial" w:cs="Arial"/>
        </w:rPr>
        <w:t>al  Dr</w:t>
      </w:r>
      <w:proofErr w:type="gramEnd"/>
      <w:r w:rsidRPr="005D234B">
        <w:rPr>
          <w:rFonts w:ascii="Arial" w:hAnsi="Arial" w:cs="Arial"/>
        </w:rPr>
        <w:t>. Luis Humberto Villalta, Vicerrector de Administración, con copia al Dr. Bernal Martínez,  Coordinador de la Comisión de Planificación y Administración, en el cual adjunta nuevo Informe de adjudicación y Expediente de la Licitación Pública Nº 2016LN-000003-APITCR “Servicio de Aseo y Limpieza Campus Cartago”, para el visto bueno respectivo y remisión al Consejo Institucional. (Anexo 3)</w:t>
      </w:r>
    </w:p>
    <w:p w:rsidR="005D234B" w:rsidRPr="005D234B" w:rsidRDefault="005D234B" w:rsidP="005D234B">
      <w:pPr>
        <w:ind w:left="465"/>
        <w:jc w:val="both"/>
        <w:rPr>
          <w:rFonts w:ascii="Arial" w:hAnsi="Arial" w:cs="Arial"/>
          <w:iCs/>
          <w:color w:val="000000"/>
        </w:rPr>
      </w:pPr>
    </w:p>
    <w:p w:rsidR="005D234B" w:rsidRPr="005D234B" w:rsidRDefault="005D234B" w:rsidP="005D234B">
      <w:pPr>
        <w:numPr>
          <w:ilvl w:val="0"/>
          <w:numId w:val="3"/>
        </w:numPr>
        <w:ind w:left="360"/>
        <w:jc w:val="both"/>
        <w:rPr>
          <w:rFonts w:ascii="Arial" w:hAnsi="Arial" w:cs="Arial"/>
        </w:rPr>
      </w:pPr>
      <w:r w:rsidRPr="005D234B">
        <w:rPr>
          <w:rFonts w:ascii="Arial" w:hAnsi="Arial" w:cs="Arial"/>
        </w:rPr>
        <w:t xml:space="preserve">Se recibe correo electrónico en el que se </w:t>
      </w:r>
      <w:proofErr w:type="gramStart"/>
      <w:r w:rsidRPr="005D234B">
        <w:rPr>
          <w:rFonts w:ascii="Arial" w:hAnsi="Arial" w:cs="Arial"/>
        </w:rPr>
        <w:t>adjunta  oficio</w:t>
      </w:r>
      <w:proofErr w:type="gramEnd"/>
      <w:r w:rsidRPr="005D234B">
        <w:rPr>
          <w:rFonts w:ascii="Arial" w:hAnsi="Arial" w:cs="Arial"/>
        </w:rPr>
        <w:t xml:space="preserve"> VAD-159-2017, con fecha de recibido 06 de marzo  del 2017, suscrito por el Dr. Luis Humberto Villalta, Vicerrector de Administración, dirigido a la Licda. Kattia Calderón Mora, Directora, Departamento de Aprovisionamiento, en el cual remite argumentaciones para declarar desierta la Licitación Pública Nº 2016LN-000003-APITCR “Servicio de Aseo y Limpieza Campus Cartago, según el siguiente detalle: (Anexo 4)</w:t>
      </w:r>
    </w:p>
    <w:p w:rsidR="005D234B" w:rsidRPr="005D234B" w:rsidRDefault="005D234B" w:rsidP="005D234B">
      <w:pPr>
        <w:ind w:left="708"/>
        <w:rPr>
          <w:i/>
          <w:color w:val="000000"/>
        </w:rPr>
      </w:pPr>
    </w:p>
    <w:p w:rsidR="005D234B" w:rsidRPr="005D234B" w:rsidRDefault="005D234B" w:rsidP="005D234B">
      <w:pPr>
        <w:ind w:left="851" w:right="423" w:hanging="425"/>
        <w:jc w:val="both"/>
        <w:rPr>
          <w:rFonts w:ascii="Arial" w:hAnsi="Arial" w:cs="Arial"/>
          <w:i/>
          <w:sz w:val="22"/>
          <w:szCs w:val="22"/>
        </w:rPr>
      </w:pPr>
      <w:r w:rsidRPr="005D234B">
        <w:rPr>
          <w:rFonts w:ascii="Arial" w:hAnsi="Arial" w:cs="Arial"/>
          <w:i/>
          <w:sz w:val="22"/>
          <w:szCs w:val="22"/>
        </w:rPr>
        <w:t>“</w:t>
      </w:r>
      <w:r w:rsidRPr="005D234B">
        <w:rPr>
          <w:rFonts w:ascii="Arial" w:hAnsi="Arial" w:cs="Arial"/>
          <w:b/>
          <w:i/>
          <w:sz w:val="22"/>
          <w:szCs w:val="22"/>
        </w:rPr>
        <w:t>1</w:t>
      </w:r>
      <w:r w:rsidRPr="005D234B">
        <w:rPr>
          <w:rFonts w:ascii="Arial" w:hAnsi="Arial" w:cs="Arial"/>
          <w:i/>
          <w:sz w:val="22"/>
          <w:szCs w:val="22"/>
        </w:rPr>
        <w:t>. La Vicerrectoría recibió oficio AP-246-2017, de fecha 6 de marzo del 2017,</w:t>
      </w:r>
      <w:proofErr w:type="gramStart"/>
      <w:r w:rsidRPr="005D234B">
        <w:rPr>
          <w:rFonts w:ascii="Arial" w:hAnsi="Arial" w:cs="Arial"/>
          <w:i/>
          <w:sz w:val="22"/>
          <w:szCs w:val="22"/>
        </w:rPr>
        <w:t>  suscrito</w:t>
      </w:r>
      <w:proofErr w:type="gramEnd"/>
      <w:r w:rsidRPr="005D234B">
        <w:rPr>
          <w:rFonts w:ascii="Arial" w:hAnsi="Arial" w:cs="Arial"/>
          <w:i/>
          <w:sz w:val="22"/>
          <w:szCs w:val="22"/>
        </w:rPr>
        <w:t xml:space="preserve"> por la Licda. Kattia Calderón Mora.</w:t>
      </w:r>
    </w:p>
    <w:p w:rsidR="005D234B" w:rsidRPr="005D234B" w:rsidRDefault="005D234B" w:rsidP="005D234B">
      <w:pPr>
        <w:numPr>
          <w:ilvl w:val="0"/>
          <w:numId w:val="25"/>
        </w:numPr>
        <w:ind w:left="851" w:right="423" w:hanging="425"/>
        <w:jc w:val="both"/>
        <w:rPr>
          <w:rFonts w:ascii="Arial" w:hAnsi="Arial" w:cs="Arial"/>
          <w:i/>
          <w:sz w:val="22"/>
          <w:szCs w:val="22"/>
        </w:rPr>
      </w:pPr>
      <w:r w:rsidRPr="005D234B">
        <w:rPr>
          <w:rFonts w:ascii="Arial" w:hAnsi="Arial" w:cs="Arial"/>
          <w:i/>
          <w:sz w:val="22"/>
          <w:szCs w:val="22"/>
        </w:rPr>
        <w:t xml:space="preserve">Los ingenieros Jonathan Esquivel Garita y Alina Rodríguez </w:t>
      </w:r>
      <w:proofErr w:type="spellStart"/>
      <w:r w:rsidRPr="005D234B">
        <w:rPr>
          <w:rFonts w:ascii="Arial" w:hAnsi="Arial" w:cs="Arial"/>
          <w:i/>
          <w:sz w:val="22"/>
          <w:szCs w:val="22"/>
        </w:rPr>
        <w:t>Rodríguez</w:t>
      </w:r>
      <w:proofErr w:type="spellEnd"/>
      <w:r w:rsidRPr="005D234B">
        <w:rPr>
          <w:rFonts w:ascii="Arial" w:hAnsi="Arial" w:cs="Arial"/>
          <w:i/>
          <w:sz w:val="22"/>
          <w:szCs w:val="22"/>
        </w:rPr>
        <w:t>, han indicado que el plan de manejo integral de residuos presenta la oferta no puede ser catalogado como Programa de Gestión Ambiental, ya que un Plan de Manejo de Residuos forma parte de un programa de Gestión Ambiental.</w:t>
      </w:r>
    </w:p>
    <w:p w:rsidR="005D234B" w:rsidRPr="005D234B" w:rsidRDefault="005D234B" w:rsidP="005D234B">
      <w:pPr>
        <w:numPr>
          <w:ilvl w:val="0"/>
          <w:numId w:val="25"/>
        </w:numPr>
        <w:ind w:left="851" w:right="423" w:hanging="425"/>
        <w:jc w:val="both"/>
        <w:rPr>
          <w:rFonts w:ascii="Arial" w:hAnsi="Arial" w:cs="Arial"/>
          <w:i/>
          <w:sz w:val="22"/>
          <w:szCs w:val="22"/>
        </w:rPr>
      </w:pPr>
      <w:r w:rsidRPr="005D234B">
        <w:rPr>
          <w:rFonts w:ascii="Arial" w:hAnsi="Arial" w:cs="Arial"/>
          <w:i/>
          <w:sz w:val="22"/>
          <w:szCs w:val="22"/>
        </w:rPr>
        <w:t>En relación con el segundo rubro se corroboró que efectivamente el documento forma parte de la oferta recibida el 27 de julio del 2016.</w:t>
      </w:r>
    </w:p>
    <w:p w:rsidR="005D234B" w:rsidRPr="005D234B" w:rsidRDefault="005D234B" w:rsidP="005D234B">
      <w:pPr>
        <w:numPr>
          <w:ilvl w:val="0"/>
          <w:numId w:val="25"/>
        </w:numPr>
        <w:ind w:left="851" w:right="423" w:hanging="425"/>
        <w:jc w:val="both"/>
        <w:rPr>
          <w:rFonts w:ascii="Arial" w:hAnsi="Arial" w:cs="Arial"/>
          <w:i/>
          <w:sz w:val="22"/>
          <w:szCs w:val="22"/>
        </w:rPr>
      </w:pPr>
      <w:r w:rsidRPr="005D234B">
        <w:rPr>
          <w:rFonts w:ascii="Arial" w:hAnsi="Arial" w:cs="Arial"/>
          <w:i/>
          <w:sz w:val="22"/>
          <w:szCs w:val="22"/>
        </w:rPr>
        <w:t xml:space="preserve">Dichos rubros modifican la evaluación propuesta de la siguiente manera: </w:t>
      </w:r>
    </w:p>
    <w:p w:rsidR="005D234B" w:rsidRPr="005D234B" w:rsidRDefault="005D234B" w:rsidP="005D234B">
      <w:pPr>
        <w:ind w:right="423"/>
        <w:jc w:val="both"/>
        <w:rPr>
          <w:rFonts w:ascii="Arial" w:hAnsi="Arial" w:cs="Arial"/>
          <w:sz w:val="22"/>
          <w:szCs w:val="22"/>
        </w:rPr>
      </w:pPr>
    </w:p>
    <w:p w:rsidR="005D234B" w:rsidRPr="005D234B" w:rsidRDefault="005D234B" w:rsidP="005D234B">
      <w:pPr>
        <w:keepNext/>
        <w:numPr>
          <w:ilvl w:val="0"/>
          <w:numId w:val="22"/>
        </w:numPr>
        <w:spacing w:before="120"/>
        <w:jc w:val="center"/>
        <w:outlineLvl w:val="0"/>
        <w:rPr>
          <w:rFonts w:ascii="Arial" w:hAnsi="Arial" w:cs="Arial"/>
          <w:b/>
          <w:bCs/>
          <w:i/>
          <w:sz w:val="22"/>
          <w:szCs w:val="22"/>
        </w:rPr>
      </w:pPr>
      <w:r w:rsidRPr="005D234B">
        <w:rPr>
          <w:rFonts w:ascii="Arial" w:hAnsi="Arial" w:cs="Arial"/>
          <w:b/>
          <w:bCs/>
          <w:i/>
          <w:sz w:val="22"/>
          <w:szCs w:val="22"/>
        </w:rPr>
        <w:t>Cuadro N°3</w:t>
      </w:r>
    </w:p>
    <w:p w:rsidR="005D234B" w:rsidRPr="005D234B" w:rsidRDefault="005D234B" w:rsidP="005D234B">
      <w:pPr>
        <w:jc w:val="center"/>
        <w:rPr>
          <w:rFonts w:ascii="Arial" w:hAnsi="Arial" w:cs="Arial"/>
          <w:i/>
        </w:rPr>
      </w:pPr>
      <w:r w:rsidRPr="005D234B">
        <w:rPr>
          <w:rFonts w:ascii="Arial" w:hAnsi="Arial" w:cs="Arial"/>
          <w:i/>
        </w:rPr>
        <w:t>Evaluación de Criterios Sostenibles</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2"/>
        <w:gridCol w:w="1163"/>
        <w:gridCol w:w="1433"/>
        <w:gridCol w:w="1719"/>
        <w:gridCol w:w="1608"/>
      </w:tblGrid>
      <w:tr w:rsidR="005D234B" w:rsidRPr="005D234B" w:rsidTr="00D1579B">
        <w:trPr>
          <w:trHeight w:val="172"/>
          <w:jc w:val="center"/>
        </w:trPr>
        <w:tc>
          <w:tcPr>
            <w:tcW w:w="4722" w:type="dxa"/>
            <w:shd w:val="clear" w:color="auto" w:fill="auto"/>
            <w:noWrap/>
            <w:vAlign w:val="center"/>
            <w:hideMark/>
          </w:tcPr>
          <w:p w:rsidR="005D234B" w:rsidRPr="005D234B" w:rsidRDefault="005D234B" w:rsidP="005D234B">
            <w:pPr>
              <w:jc w:val="center"/>
              <w:rPr>
                <w:rFonts w:ascii="Arial" w:hAnsi="Arial" w:cs="Arial"/>
                <w:b/>
                <w:bCs/>
                <w:i/>
                <w:color w:val="000000"/>
                <w:sz w:val="20"/>
                <w:szCs w:val="20"/>
                <w:lang w:eastAsia="es-CR"/>
              </w:rPr>
            </w:pPr>
            <w:r w:rsidRPr="005D234B">
              <w:rPr>
                <w:rFonts w:ascii="Arial" w:hAnsi="Arial" w:cs="Arial"/>
                <w:b/>
                <w:bCs/>
                <w:i/>
                <w:color w:val="000000"/>
                <w:sz w:val="20"/>
                <w:szCs w:val="20"/>
                <w:lang w:eastAsia="es-CR"/>
              </w:rPr>
              <w:t>Criterio</w:t>
            </w:r>
          </w:p>
        </w:tc>
        <w:tc>
          <w:tcPr>
            <w:tcW w:w="1102" w:type="dxa"/>
          </w:tcPr>
          <w:p w:rsidR="005D234B" w:rsidRPr="005D234B" w:rsidRDefault="005D234B" w:rsidP="005D234B">
            <w:pPr>
              <w:jc w:val="center"/>
              <w:rPr>
                <w:rFonts w:ascii="Arial" w:hAnsi="Arial" w:cs="Arial"/>
                <w:b/>
                <w:i/>
                <w:sz w:val="20"/>
                <w:szCs w:val="20"/>
              </w:rPr>
            </w:pPr>
            <w:r w:rsidRPr="005D234B">
              <w:rPr>
                <w:rFonts w:ascii="Arial" w:hAnsi="Arial" w:cs="Arial"/>
                <w:b/>
                <w:i/>
                <w:sz w:val="20"/>
                <w:szCs w:val="20"/>
              </w:rPr>
              <w:t xml:space="preserve">Porcentaje </w:t>
            </w:r>
          </w:p>
        </w:tc>
        <w:tc>
          <w:tcPr>
            <w:tcW w:w="1433" w:type="dxa"/>
            <w:shd w:val="clear" w:color="auto" w:fill="auto"/>
            <w:noWrap/>
            <w:hideMark/>
          </w:tcPr>
          <w:p w:rsidR="005D234B" w:rsidRPr="005D234B" w:rsidRDefault="005D234B" w:rsidP="005D234B">
            <w:pPr>
              <w:jc w:val="center"/>
              <w:rPr>
                <w:rFonts w:ascii="Arial" w:hAnsi="Arial" w:cs="Arial"/>
                <w:b/>
                <w:i/>
                <w:sz w:val="20"/>
                <w:szCs w:val="20"/>
              </w:rPr>
            </w:pPr>
            <w:r w:rsidRPr="005D234B">
              <w:rPr>
                <w:rFonts w:ascii="Arial" w:hAnsi="Arial" w:cs="Arial"/>
                <w:b/>
                <w:i/>
                <w:sz w:val="20"/>
                <w:szCs w:val="20"/>
              </w:rPr>
              <w:t>OFERTA 1</w:t>
            </w:r>
          </w:p>
          <w:p w:rsidR="005D234B" w:rsidRPr="005D234B" w:rsidRDefault="005D234B" w:rsidP="005D234B">
            <w:pPr>
              <w:jc w:val="center"/>
              <w:rPr>
                <w:rFonts w:ascii="Arial" w:hAnsi="Arial" w:cs="Arial"/>
                <w:b/>
                <w:i/>
                <w:sz w:val="20"/>
                <w:szCs w:val="20"/>
              </w:rPr>
            </w:pPr>
          </w:p>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b/>
                <w:i/>
                <w:sz w:val="20"/>
                <w:szCs w:val="20"/>
              </w:rPr>
              <w:t>Consorcio A&amp;C</w:t>
            </w:r>
          </w:p>
        </w:tc>
        <w:tc>
          <w:tcPr>
            <w:tcW w:w="1719" w:type="dxa"/>
            <w:shd w:val="clear" w:color="auto" w:fill="auto"/>
            <w:noWrap/>
            <w:hideMark/>
          </w:tcPr>
          <w:p w:rsidR="005D234B" w:rsidRPr="005D234B" w:rsidRDefault="005D234B" w:rsidP="005D234B">
            <w:pPr>
              <w:jc w:val="center"/>
              <w:rPr>
                <w:rFonts w:ascii="Arial" w:hAnsi="Arial" w:cs="Arial"/>
                <w:b/>
                <w:i/>
                <w:sz w:val="20"/>
                <w:szCs w:val="20"/>
              </w:rPr>
            </w:pPr>
            <w:r w:rsidRPr="005D234B">
              <w:rPr>
                <w:rFonts w:ascii="Arial" w:hAnsi="Arial" w:cs="Arial"/>
                <w:b/>
                <w:i/>
                <w:sz w:val="20"/>
                <w:szCs w:val="20"/>
              </w:rPr>
              <w:t>OFERTA 2</w:t>
            </w:r>
          </w:p>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b/>
                <w:i/>
                <w:sz w:val="20"/>
                <w:szCs w:val="20"/>
              </w:rPr>
              <w:t xml:space="preserve">Servicios de Limpieza a su Medida </w:t>
            </w:r>
            <w:proofErr w:type="spellStart"/>
            <w:r w:rsidRPr="005D234B">
              <w:rPr>
                <w:rFonts w:ascii="Arial" w:hAnsi="Arial" w:cs="Arial"/>
                <w:b/>
                <w:i/>
                <w:sz w:val="20"/>
                <w:szCs w:val="20"/>
              </w:rPr>
              <w:t>Selime</w:t>
            </w:r>
            <w:proofErr w:type="spellEnd"/>
            <w:r w:rsidRPr="005D234B">
              <w:rPr>
                <w:rFonts w:ascii="Arial" w:hAnsi="Arial" w:cs="Arial"/>
                <w:b/>
                <w:i/>
                <w:sz w:val="20"/>
                <w:szCs w:val="20"/>
              </w:rPr>
              <w:t xml:space="preserve"> S.A.</w:t>
            </w:r>
          </w:p>
        </w:tc>
        <w:tc>
          <w:tcPr>
            <w:tcW w:w="1327" w:type="dxa"/>
            <w:shd w:val="clear" w:color="auto" w:fill="auto"/>
            <w:noWrap/>
            <w:hideMark/>
          </w:tcPr>
          <w:p w:rsidR="005D234B" w:rsidRPr="005D234B" w:rsidRDefault="005D234B" w:rsidP="005D234B">
            <w:pPr>
              <w:jc w:val="center"/>
              <w:rPr>
                <w:rFonts w:ascii="Arial" w:hAnsi="Arial" w:cs="Arial"/>
                <w:b/>
                <w:i/>
                <w:sz w:val="20"/>
                <w:szCs w:val="20"/>
              </w:rPr>
            </w:pPr>
            <w:r w:rsidRPr="005D234B">
              <w:rPr>
                <w:rFonts w:ascii="Arial" w:hAnsi="Arial" w:cs="Arial"/>
                <w:b/>
                <w:i/>
                <w:sz w:val="20"/>
                <w:szCs w:val="20"/>
              </w:rPr>
              <w:t>OFERTA 5</w:t>
            </w:r>
          </w:p>
          <w:p w:rsidR="005D234B" w:rsidRPr="005D234B" w:rsidRDefault="005D234B" w:rsidP="005D234B">
            <w:pPr>
              <w:jc w:val="center"/>
              <w:rPr>
                <w:rFonts w:ascii="Arial" w:hAnsi="Arial" w:cs="Arial"/>
                <w:i/>
                <w:color w:val="000000"/>
                <w:sz w:val="20"/>
                <w:szCs w:val="20"/>
                <w:lang w:eastAsia="es-CR"/>
              </w:rPr>
            </w:pPr>
            <w:proofErr w:type="spellStart"/>
            <w:r w:rsidRPr="005D234B">
              <w:rPr>
                <w:rFonts w:ascii="Arial" w:hAnsi="Arial" w:cs="Arial"/>
                <w:b/>
                <w:i/>
                <w:sz w:val="20"/>
                <w:szCs w:val="20"/>
              </w:rPr>
              <w:t>Multinegocios</w:t>
            </w:r>
            <w:proofErr w:type="spellEnd"/>
            <w:r w:rsidRPr="005D234B">
              <w:rPr>
                <w:rFonts w:ascii="Arial" w:hAnsi="Arial" w:cs="Arial"/>
                <w:b/>
                <w:i/>
                <w:sz w:val="20"/>
                <w:szCs w:val="20"/>
              </w:rPr>
              <w:t xml:space="preserve"> Internacionales América S.A.</w:t>
            </w:r>
          </w:p>
        </w:tc>
      </w:tr>
      <w:tr w:rsidR="005D234B" w:rsidRPr="005D234B" w:rsidTr="00D1579B">
        <w:trPr>
          <w:trHeight w:val="346"/>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t>Programa de Gestión Ambiental implementado</w:t>
            </w:r>
          </w:p>
        </w:tc>
        <w:tc>
          <w:tcPr>
            <w:tcW w:w="1102" w:type="dxa"/>
            <w:vAlign w:val="center"/>
          </w:tcPr>
          <w:p w:rsidR="005D234B" w:rsidRPr="005D234B" w:rsidRDefault="005D234B" w:rsidP="005D234B">
            <w:pPr>
              <w:jc w:val="center"/>
              <w:rPr>
                <w:rFonts w:ascii="Arial" w:hAnsi="Arial" w:cs="Arial"/>
                <w:i/>
                <w:sz w:val="20"/>
                <w:szCs w:val="20"/>
              </w:rPr>
            </w:pPr>
            <w:r w:rsidRPr="005D234B">
              <w:rPr>
                <w:rFonts w:ascii="Arial" w:hAnsi="Arial" w:cs="Arial"/>
                <w:b/>
                <w:i/>
                <w:sz w:val="20"/>
                <w:szCs w:val="20"/>
              </w:rPr>
              <w:t>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0%</w:t>
            </w:r>
          </w:p>
        </w:tc>
        <w:tc>
          <w:tcPr>
            <w:tcW w:w="1719"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5%</w:t>
            </w:r>
          </w:p>
        </w:tc>
        <w:tc>
          <w:tcPr>
            <w:tcW w:w="1327"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5%</w:t>
            </w:r>
          </w:p>
        </w:tc>
      </w:tr>
      <w:tr w:rsidR="005D234B" w:rsidRPr="005D234B" w:rsidTr="00D1579B">
        <w:trPr>
          <w:trHeight w:val="268"/>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t>Certificación ISO 14001 vigente (mayor o igual a 1 año)</w:t>
            </w:r>
          </w:p>
        </w:tc>
        <w:tc>
          <w:tcPr>
            <w:tcW w:w="1102" w:type="dxa"/>
          </w:tcPr>
          <w:p w:rsidR="005D234B" w:rsidRPr="005D234B" w:rsidRDefault="005D234B" w:rsidP="005D234B">
            <w:pPr>
              <w:jc w:val="center"/>
              <w:rPr>
                <w:rFonts w:ascii="Arial" w:hAnsi="Arial" w:cs="Arial"/>
                <w:i/>
                <w:sz w:val="20"/>
                <w:szCs w:val="20"/>
              </w:rPr>
            </w:pPr>
            <w:r w:rsidRPr="005D234B">
              <w:rPr>
                <w:rFonts w:ascii="Arial" w:hAnsi="Arial" w:cs="Arial"/>
                <w:b/>
                <w:i/>
                <w:sz w:val="20"/>
                <w:szCs w:val="20"/>
              </w:rPr>
              <w:t>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5%</w:t>
            </w:r>
          </w:p>
        </w:tc>
        <w:tc>
          <w:tcPr>
            <w:tcW w:w="1719" w:type="dxa"/>
            <w:shd w:val="clear" w:color="auto" w:fill="auto"/>
            <w:noWrap/>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0%</w:t>
            </w:r>
          </w:p>
        </w:tc>
        <w:tc>
          <w:tcPr>
            <w:tcW w:w="1327" w:type="dxa"/>
            <w:shd w:val="clear" w:color="auto" w:fill="auto"/>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0%</w:t>
            </w:r>
          </w:p>
        </w:tc>
      </w:tr>
      <w:tr w:rsidR="005D234B" w:rsidRPr="005D234B" w:rsidTr="00D1579B">
        <w:trPr>
          <w:trHeight w:val="303"/>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lastRenderedPageBreak/>
              <w:t>Certificación OHSAS 18001 vigente (mayor o igual a 1 año)</w:t>
            </w:r>
          </w:p>
        </w:tc>
        <w:tc>
          <w:tcPr>
            <w:tcW w:w="1102" w:type="dxa"/>
          </w:tcPr>
          <w:p w:rsidR="005D234B" w:rsidRPr="005D234B" w:rsidRDefault="005D234B" w:rsidP="005D234B">
            <w:pPr>
              <w:jc w:val="center"/>
              <w:rPr>
                <w:rFonts w:ascii="Arial" w:hAnsi="Arial" w:cs="Arial"/>
                <w:i/>
                <w:sz w:val="20"/>
                <w:szCs w:val="20"/>
              </w:rPr>
            </w:pPr>
            <w:r w:rsidRPr="005D234B">
              <w:rPr>
                <w:rFonts w:ascii="Arial" w:hAnsi="Arial" w:cs="Arial"/>
                <w:b/>
                <w:i/>
                <w:sz w:val="20"/>
                <w:szCs w:val="20"/>
              </w:rPr>
              <w:t>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0%</w:t>
            </w:r>
          </w:p>
        </w:tc>
        <w:tc>
          <w:tcPr>
            <w:tcW w:w="1719" w:type="dxa"/>
            <w:shd w:val="clear" w:color="auto" w:fill="auto"/>
            <w:noWrap/>
            <w:hideMark/>
          </w:tcPr>
          <w:p w:rsidR="005D234B" w:rsidRPr="005D234B" w:rsidRDefault="005D234B" w:rsidP="005D234B">
            <w:pPr>
              <w:jc w:val="center"/>
              <w:rPr>
                <w:rFonts w:ascii="Arial" w:hAnsi="Arial" w:cs="Arial"/>
                <w:i/>
                <w:sz w:val="20"/>
                <w:szCs w:val="20"/>
                <w:lang w:eastAsia="es-CR"/>
              </w:rPr>
            </w:pPr>
            <w:r w:rsidRPr="005D234B">
              <w:rPr>
                <w:rFonts w:ascii="Arial" w:hAnsi="Arial" w:cs="Arial"/>
                <w:i/>
                <w:color w:val="000000"/>
                <w:sz w:val="20"/>
                <w:szCs w:val="20"/>
                <w:lang w:eastAsia="es-CR"/>
              </w:rPr>
              <w:t>0%</w:t>
            </w:r>
          </w:p>
        </w:tc>
        <w:tc>
          <w:tcPr>
            <w:tcW w:w="1327" w:type="dxa"/>
            <w:shd w:val="clear" w:color="auto" w:fill="auto"/>
            <w:noWrap/>
            <w:hideMark/>
          </w:tcPr>
          <w:p w:rsidR="005D234B" w:rsidRPr="005D234B" w:rsidRDefault="005D234B" w:rsidP="005D234B">
            <w:pPr>
              <w:jc w:val="center"/>
              <w:rPr>
                <w:rFonts w:ascii="Arial" w:hAnsi="Arial" w:cs="Arial"/>
                <w:i/>
                <w:sz w:val="20"/>
                <w:szCs w:val="20"/>
                <w:lang w:eastAsia="es-CR"/>
              </w:rPr>
            </w:pPr>
            <w:r w:rsidRPr="005D234B">
              <w:rPr>
                <w:rFonts w:ascii="Arial" w:hAnsi="Arial" w:cs="Arial"/>
                <w:i/>
                <w:color w:val="000000"/>
                <w:sz w:val="20"/>
                <w:szCs w:val="20"/>
                <w:lang w:eastAsia="es-CR"/>
              </w:rPr>
              <w:t>0%</w:t>
            </w:r>
          </w:p>
        </w:tc>
      </w:tr>
      <w:tr w:rsidR="005D234B" w:rsidRPr="005D234B" w:rsidTr="00D1579B">
        <w:trPr>
          <w:trHeight w:val="323"/>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t>Reconocimientos nacionales en temas ambientales o salud ocupacional</w:t>
            </w:r>
          </w:p>
        </w:tc>
        <w:tc>
          <w:tcPr>
            <w:tcW w:w="1102" w:type="dxa"/>
          </w:tcPr>
          <w:p w:rsidR="005D234B" w:rsidRPr="005D234B" w:rsidRDefault="005D234B" w:rsidP="005D234B">
            <w:pPr>
              <w:jc w:val="center"/>
              <w:rPr>
                <w:rFonts w:ascii="Arial" w:hAnsi="Arial" w:cs="Arial"/>
                <w:i/>
                <w:sz w:val="20"/>
                <w:szCs w:val="20"/>
              </w:rPr>
            </w:pPr>
            <w:r w:rsidRPr="005D234B">
              <w:rPr>
                <w:rFonts w:ascii="Arial" w:hAnsi="Arial" w:cs="Arial"/>
                <w:b/>
                <w:i/>
                <w:sz w:val="20"/>
                <w:szCs w:val="20"/>
              </w:rPr>
              <w:t>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5%</w:t>
            </w:r>
          </w:p>
        </w:tc>
        <w:tc>
          <w:tcPr>
            <w:tcW w:w="1719" w:type="dxa"/>
            <w:shd w:val="clear" w:color="auto" w:fill="auto"/>
            <w:noWrap/>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0%</w:t>
            </w:r>
          </w:p>
        </w:tc>
        <w:tc>
          <w:tcPr>
            <w:tcW w:w="1327" w:type="dxa"/>
            <w:shd w:val="clear" w:color="auto" w:fill="auto"/>
            <w:noWrap/>
            <w:hideMark/>
          </w:tcPr>
          <w:p w:rsidR="005D234B" w:rsidRPr="005D234B" w:rsidRDefault="005D234B" w:rsidP="005D234B">
            <w:pPr>
              <w:jc w:val="center"/>
              <w:rPr>
                <w:rFonts w:ascii="Arial" w:hAnsi="Arial" w:cs="Arial"/>
                <w:i/>
                <w:sz w:val="20"/>
                <w:szCs w:val="20"/>
                <w:lang w:eastAsia="es-CR"/>
              </w:rPr>
            </w:pPr>
            <w:r w:rsidRPr="005D234B">
              <w:rPr>
                <w:rFonts w:ascii="Arial" w:hAnsi="Arial" w:cs="Arial"/>
                <w:i/>
                <w:color w:val="000000"/>
                <w:sz w:val="20"/>
                <w:szCs w:val="20"/>
                <w:lang w:eastAsia="es-CR"/>
              </w:rPr>
              <w:t>0%</w:t>
            </w:r>
          </w:p>
        </w:tc>
      </w:tr>
      <w:tr w:rsidR="005D234B" w:rsidRPr="005D234B" w:rsidTr="00D1579B">
        <w:trPr>
          <w:trHeight w:val="315"/>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t>Reconocimiento internacional en temas ambientales o salud ocupacional</w:t>
            </w:r>
          </w:p>
        </w:tc>
        <w:tc>
          <w:tcPr>
            <w:tcW w:w="1102" w:type="dxa"/>
            <w:vAlign w:val="center"/>
          </w:tcPr>
          <w:p w:rsidR="005D234B" w:rsidRPr="005D234B" w:rsidRDefault="005D234B" w:rsidP="005D234B">
            <w:pPr>
              <w:jc w:val="center"/>
              <w:rPr>
                <w:rFonts w:ascii="Arial" w:hAnsi="Arial" w:cs="Arial"/>
                <w:b/>
                <w:i/>
                <w:sz w:val="20"/>
                <w:szCs w:val="20"/>
              </w:rPr>
            </w:pPr>
            <w:r w:rsidRPr="005D234B">
              <w:rPr>
                <w:rFonts w:ascii="Arial" w:hAnsi="Arial" w:cs="Arial"/>
                <w:b/>
                <w:i/>
                <w:sz w:val="20"/>
                <w:szCs w:val="20"/>
              </w:rPr>
              <w:t>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5%</w:t>
            </w:r>
          </w:p>
        </w:tc>
        <w:tc>
          <w:tcPr>
            <w:tcW w:w="1719" w:type="dxa"/>
            <w:shd w:val="clear" w:color="auto" w:fill="auto"/>
            <w:noWrap/>
            <w:hideMark/>
          </w:tcPr>
          <w:p w:rsidR="005D234B" w:rsidRPr="005D234B" w:rsidRDefault="005D234B" w:rsidP="005D234B">
            <w:pPr>
              <w:jc w:val="center"/>
              <w:rPr>
                <w:rFonts w:ascii="Arial" w:hAnsi="Arial" w:cs="Arial"/>
                <w:i/>
                <w:sz w:val="20"/>
                <w:szCs w:val="20"/>
                <w:lang w:eastAsia="es-CR"/>
              </w:rPr>
            </w:pPr>
            <w:r w:rsidRPr="005D234B">
              <w:rPr>
                <w:rFonts w:ascii="Arial" w:hAnsi="Arial" w:cs="Arial"/>
                <w:i/>
                <w:color w:val="000000"/>
                <w:sz w:val="20"/>
                <w:szCs w:val="20"/>
                <w:lang w:eastAsia="es-CR"/>
              </w:rPr>
              <w:t>0%</w:t>
            </w:r>
          </w:p>
        </w:tc>
        <w:tc>
          <w:tcPr>
            <w:tcW w:w="1327" w:type="dxa"/>
            <w:shd w:val="clear" w:color="auto" w:fill="auto"/>
            <w:noWrap/>
            <w:hideMark/>
          </w:tcPr>
          <w:p w:rsidR="005D234B" w:rsidRPr="005D234B" w:rsidRDefault="005D234B" w:rsidP="005D234B">
            <w:pPr>
              <w:jc w:val="center"/>
              <w:rPr>
                <w:rFonts w:ascii="Arial" w:hAnsi="Arial" w:cs="Arial"/>
                <w:i/>
                <w:sz w:val="20"/>
                <w:szCs w:val="20"/>
                <w:lang w:eastAsia="es-CR"/>
              </w:rPr>
            </w:pPr>
            <w:r w:rsidRPr="005D234B">
              <w:rPr>
                <w:rFonts w:ascii="Arial" w:hAnsi="Arial" w:cs="Arial"/>
                <w:i/>
                <w:color w:val="000000"/>
                <w:sz w:val="20"/>
                <w:szCs w:val="20"/>
                <w:lang w:eastAsia="es-CR"/>
              </w:rPr>
              <w:t>0%</w:t>
            </w:r>
          </w:p>
        </w:tc>
      </w:tr>
      <w:tr w:rsidR="005D234B" w:rsidRPr="005D234B" w:rsidTr="00D1579B">
        <w:trPr>
          <w:trHeight w:val="307"/>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t>Inclusión laboral de personas con discapacidad en su planilla.</w:t>
            </w:r>
          </w:p>
        </w:tc>
        <w:tc>
          <w:tcPr>
            <w:tcW w:w="1102" w:type="dxa"/>
            <w:vAlign w:val="center"/>
          </w:tcPr>
          <w:p w:rsidR="005D234B" w:rsidRPr="005D234B" w:rsidRDefault="005D234B" w:rsidP="005D234B">
            <w:pPr>
              <w:jc w:val="center"/>
              <w:rPr>
                <w:rFonts w:ascii="Arial" w:hAnsi="Arial" w:cs="Arial"/>
                <w:b/>
                <w:i/>
                <w:sz w:val="20"/>
                <w:szCs w:val="20"/>
              </w:rPr>
            </w:pPr>
            <w:r w:rsidRPr="005D234B">
              <w:rPr>
                <w:rFonts w:ascii="Arial" w:hAnsi="Arial" w:cs="Arial"/>
                <w:b/>
                <w:i/>
                <w:sz w:val="20"/>
                <w:szCs w:val="20"/>
              </w:rPr>
              <w:t>2.5%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2,5%</w:t>
            </w:r>
          </w:p>
        </w:tc>
        <w:tc>
          <w:tcPr>
            <w:tcW w:w="1719" w:type="dxa"/>
            <w:shd w:val="clear" w:color="auto" w:fill="auto"/>
            <w:noWrap/>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0%</w:t>
            </w:r>
          </w:p>
        </w:tc>
        <w:tc>
          <w:tcPr>
            <w:tcW w:w="1327" w:type="dxa"/>
            <w:shd w:val="clear" w:color="auto" w:fill="auto"/>
            <w:noWrap/>
            <w:hideMark/>
          </w:tcPr>
          <w:p w:rsidR="005D234B" w:rsidRPr="005D234B" w:rsidRDefault="005D234B" w:rsidP="005D234B">
            <w:pPr>
              <w:jc w:val="center"/>
              <w:rPr>
                <w:rFonts w:ascii="Arial" w:hAnsi="Arial" w:cs="Arial"/>
                <w:i/>
                <w:sz w:val="20"/>
                <w:szCs w:val="20"/>
                <w:lang w:eastAsia="es-CR"/>
              </w:rPr>
            </w:pPr>
            <w:r w:rsidRPr="005D234B">
              <w:rPr>
                <w:rFonts w:ascii="Arial" w:hAnsi="Arial" w:cs="Arial"/>
                <w:i/>
                <w:color w:val="000000"/>
                <w:sz w:val="20"/>
                <w:szCs w:val="20"/>
                <w:lang w:eastAsia="es-CR"/>
              </w:rPr>
              <w:t>0%</w:t>
            </w:r>
          </w:p>
        </w:tc>
      </w:tr>
      <w:tr w:rsidR="005D234B" w:rsidRPr="005D234B" w:rsidTr="00D1579B">
        <w:trPr>
          <w:trHeight w:val="172"/>
          <w:jc w:val="center"/>
        </w:trPr>
        <w:tc>
          <w:tcPr>
            <w:tcW w:w="4722" w:type="dxa"/>
            <w:shd w:val="clear" w:color="auto" w:fill="auto"/>
            <w:vAlign w:val="bottom"/>
            <w:hideMark/>
          </w:tcPr>
          <w:p w:rsidR="005D234B" w:rsidRPr="005D234B" w:rsidRDefault="005D234B" w:rsidP="005D234B">
            <w:pPr>
              <w:jc w:val="both"/>
              <w:rPr>
                <w:rFonts w:ascii="Arial" w:hAnsi="Arial" w:cs="Arial"/>
                <w:i/>
                <w:color w:val="000000"/>
                <w:sz w:val="20"/>
                <w:szCs w:val="20"/>
                <w:lang w:eastAsia="es-CR"/>
              </w:rPr>
            </w:pPr>
            <w:r w:rsidRPr="005D234B">
              <w:rPr>
                <w:rFonts w:ascii="Arial" w:hAnsi="Arial" w:cs="Arial"/>
                <w:i/>
                <w:color w:val="000000"/>
                <w:sz w:val="20"/>
                <w:szCs w:val="20"/>
                <w:lang w:eastAsia="es-CR"/>
              </w:rPr>
              <w:t>Comisión de salud ocupacional u oficina o departamento de salud ocupacional que mantenga actualizado un diagnóstico de condiciones de riesgo y un plan de salud ocupacional. (Según corresponda en Decreto N° 18379-MTSS y N° 27434-MTSS)</w:t>
            </w:r>
          </w:p>
        </w:tc>
        <w:tc>
          <w:tcPr>
            <w:tcW w:w="1102" w:type="dxa"/>
            <w:vAlign w:val="center"/>
          </w:tcPr>
          <w:p w:rsidR="005D234B" w:rsidRPr="005D234B" w:rsidRDefault="005D234B" w:rsidP="005D234B">
            <w:pPr>
              <w:jc w:val="center"/>
              <w:rPr>
                <w:rFonts w:ascii="Arial" w:hAnsi="Arial" w:cs="Arial"/>
                <w:i/>
                <w:sz w:val="20"/>
                <w:szCs w:val="20"/>
              </w:rPr>
            </w:pPr>
            <w:r w:rsidRPr="005D234B">
              <w:rPr>
                <w:rFonts w:ascii="Arial" w:hAnsi="Arial" w:cs="Arial"/>
                <w:b/>
                <w:i/>
                <w:sz w:val="20"/>
                <w:szCs w:val="20"/>
              </w:rPr>
              <w:t>2.5%</w:t>
            </w:r>
          </w:p>
        </w:tc>
        <w:tc>
          <w:tcPr>
            <w:tcW w:w="1433"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2.5%</w:t>
            </w:r>
          </w:p>
        </w:tc>
        <w:tc>
          <w:tcPr>
            <w:tcW w:w="1719"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2,5%</w:t>
            </w:r>
          </w:p>
        </w:tc>
        <w:tc>
          <w:tcPr>
            <w:tcW w:w="1327" w:type="dxa"/>
            <w:shd w:val="clear" w:color="auto" w:fill="auto"/>
            <w:noWrap/>
            <w:vAlign w:val="bottom"/>
            <w:hideMark/>
          </w:tcPr>
          <w:p w:rsidR="005D234B" w:rsidRPr="005D234B" w:rsidRDefault="005D234B" w:rsidP="005D234B">
            <w:pPr>
              <w:jc w:val="center"/>
              <w:rPr>
                <w:rFonts w:ascii="Arial" w:hAnsi="Arial" w:cs="Arial"/>
                <w:i/>
                <w:color w:val="000000"/>
                <w:sz w:val="20"/>
                <w:szCs w:val="20"/>
                <w:lang w:eastAsia="es-CR"/>
              </w:rPr>
            </w:pPr>
            <w:r w:rsidRPr="005D234B">
              <w:rPr>
                <w:rFonts w:ascii="Arial" w:hAnsi="Arial" w:cs="Arial"/>
                <w:i/>
                <w:color w:val="000000"/>
                <w:sz w:val="20"/>
                <w:szCs w:val="20"/>
                <w:lang w:eastAsia="es-CR"/>
              </w:rPr>
              <w:t>2,5</w:t>
            </w:r>
          </w:p>
        </w:tc>
      </w:tr>
      <w:tr w:rsidR="005D234B" w:rsidRPr="005D234B" w:rsidTr="00D1579B">
        <w:trPr>
          <w:trHeight w:val="172"/>
          <w:jc w:val="center"/>
        </w:trPr>
        <w:tc>
          <w:tcPr>
            <w:tcW w:w="4722" w:type="dxa"/>
            <w:shd w:val="clear" w:color="auto" w:fill="auto"/>
            <w:vAlign w:val="bottom"/>
            <w:hideMark/>
          </w:tcPr>
          <w:p w:rsidR="005D234B" w:rsidRPr="005D234B" w:rsidRDefault="005D234B" w:rsidP="005D234B">
            <w:pPr>
              <w:rPr>
                <w:rFonts w:ascii="Arial" w:hAnsi="Arial" w:cs="Arial"/>
                <w:b/>
                <w:i/>
                <w:color w:val="000000"/>
                <w:sz w:val="20"/>
                <w:szCs w:val="20"/>
                <w:lang w:eastAsia="es-CR"/>
              </w:rPr>
            </w:pPr>
            <w:r w:rsidRPr="005D234B">
              <w:rPr>
                <w:rFonts w:ascii="Arial" w:hAnsi="Arial" w:cs="Arial"/>
                <w:b/>
                <w:i/>
                <w:color w:val="000000"/>
                <w:sz w:val="20"/>
                <w:szCs w:val="20"/>
                <w:lang w:eastAsia="es-CR"/>
              </w:rPr>
              <w:t>Total obtenido</w:t>
            </w:r>
          </w:p>
        </w:tc>
        <w:tc>
          <w:tcPr>
            <w:tcW w:w="1102" w:type="dxa"/>
          </w:tcPr>
          <w:p w:rsidR="005D234B" w:rsidRPr="005D234B" w:rsidRDefault="005D234B" w:rsidP="005D234B">
            <w:pPr>
              <w:jc w:val="center"/>
              <w:rPr>
                <w:rFonts w:ascii="Arial" w:hAnsi="Arial" w:cs="Arial"/>
                <w:b/>
                <w:i/>
                <w:color w:val="000000"/>
                <w:sz w:val="20"/>
                <w:szCs w:val="20"/>
                <w:lang w:eastAsia="es-CR"/>
              </w:rPr>
            </w:pPr>
            <w:r w:rsidRPr="005D234B">
              <w:rPr>
                <w:rFonts w:ascii="Arial" w:hAnsi="Arial" w:cs="Arial"/>
                <w:b/>
                <w:i/>
                <w:color w:val="000000"/>
                <w:sz w:val="20"/>
                <w:szCs w:val="20"/>
                <w:lang w:eastAsia="es-CR"/>
              </w:rPr>
              <w:t>30%</w:t>
            </w:r>
          </w:p>
        </w:tc>
        <w:tc>
          <w:tcPr>
            <w:tcW w:w="1433" w:type="dxa"/>
            <w:shd w:val="clear" w:color="auto" w:fill="auto"/>
            <w:noWrap/>
            <w:vAlign w:val="bottom"/>
            <w:hideMark/>
          </w:tcPr>
          <w:p w:rsidR="005D234B" w:rsidRPr="005D234B" w:rsidRDefault="005D234B" w:rsidP="005D234B">
            <w:pPr>
              <w:jc w:val="center"/>
              <w:rPr>
                <w:rFonts w:ascii="Arial" w:hAnsi="Arial" w:cs="Arial"/>
                <w:b/>
                <w:i/>
                <w:color w:val="000000"/>
                <w:sz w:val="20"/>
                <w:szCs w:val="20"/>
                <w:lang w:eastAsia="es-CR"/>
              </w:rPr>
            </w:pPr>
            <w:r w:rsidRPr="005D234B">
              <w:rPr>
                <w:rFonts w:ascii="Arial" w:hAnsi="Arial" w:cs="Arial"/>
                <w:b/>
                <w:i/>
                <w:color w:val="000000"/>
                <w:sz w:val="20"/>
                <w:szCs w:val="20"/>
                <w:lang w:eastAsia="es-CR"/>
              </w:rPr>
              <w:t>20%</w:t>
            </w:r>
          </w:p>
        </w:tc>
        <w:tc>
          <w:tcPr>
            <w:tcW w:w="1719" w:type="dxa"/>
            <w:shd w:val="clear" w:color="auto" w:fill="auto"/>
            <w:noWrap/>
            <w:vAlign w:val="bottom"/>
            <w:hideMark/>
          </w:tcPr>
          <w:p w:rsidR="005D234B" w:rsidRPr="005D234B" w:rsidRDefault="005D234B" w:rsidP="005D234B">
            <w:pPr>
              <w:jc w:val="center"/>
              <w:rPr>
                <w:rFonts w:ascii="Arial" w:hAnsi="Arial" w:cs="Arial"/>
                <w:b/>
                <w:i/>
                <w:color w:val="000000"/>
                <w:sz w:val="20"/>
                <w:szCs w:val="20"/>
                <w:lang w:eastAsia="es-CR"/>
              </w:rPr>
            </w:pPr>
            <w:r w:rsidRPr="005D234B">
              <w:rPr>
                <w:rFonts w:ascii="Arial" w:hAnsi="Arial" w:cs="Arial"/>
                <w:b/>
                <w:i/>
                <w:color w:val="000000"/>
                <w:sz w:val="20"/>
                <w:szCs w:val="20"/>
                <w:lang w:eastAsia="es-CR"/>
              </w:rPr>
              <w:t>7,5%</w:t>
            </w:r>
          </w:p>
        </w:tc>
        <w:tc>
          <w:tcPr>
            <w:tcW w:w="1327" w:type="dxa"/>
            <w:shd w:val="clear" w:color="auto" w:fill="auto"/>
            <w:noWrap/>
            <w:vAlign w:val="bottom"/>
            <w:hideMark/>
          </w:tcPr>
          <w:p w:rsidR="005D234B" w:rsidRPr="005D234B" w:rsidRDefault="005D234B" w:rsidP="005D234B">
            <w:pPr>
              <w:jc w:val="center"/>
              <w:rPr>
                <w:rFonts w:ascii="Arial" w:hAnsi="Arial" w:cs="Arial"/>
                <w:b/>
                <w:i/>
                <w:color w:val="000000"/>
                <w:sz w:val="20"/>
                <w:szCs w:val="20"/>
                <w:lang w:eastAsia="es-CR"/>
              </w:rPr>
            </w:pPr>
            <w:r w:rsidRPr="005D234B">
              <w:rPr>
                <w:rFonts w:ascii="Arial" w:hAnsi="Arial" w:cs="Arial"/>
                <w:b/>
                <w:i/>
                <w:color w:val="000000"/>
                <w:sz w:val="20"/>
                <w:szCs w:val="20"/>
                <w:lang w:eastAsia="es-CR"/>
              </w:rPr>
              <w:t>7,5%</w:t>
            </w:r>
          </w:p>
        </w:tc>
      </w:tr>
    </w:tbl>
    <w:p w:rsidR="005D234B" w:rsidRPr="005D234B" w:rsidRDefault="005D234B" w:rsidP="005D234B">
      <w:pPr>
        <w:ind w:right="423"/>
        <w:jc w:val="both"/>
        <w:rPr>
          <w:rFonts w:ascii="Arial" w:hAnsi="Arial" w:cs="Arial"/>
          <w:i/>
          <w:sz w:val="22"/>
          <w:szCs w:val="22"/>
        </w:rPr>
      </w:pPr>
    </w:p>
    <w:p w:rsidR="005D234B" w:rsidRPr="005D234B" w:rsidRDefault="005D234B" w:rsidP="005D234B">
      <w:pPr>
        <w:keepNext/>
        <w:numPr>
          <w:ilvl w:val="0"/>
          <w:numId w:val="22"/>
        </w:numPr>
        <w:spacing w:before="120"/>
        <w:jc w:val="center"/>
        <w:outlineLvl w:val="0"/>
        <w:rPr>
          <w:rFonts w:ascii="Arial" w:hAnsi="Arial" w:cs="Arial"/>
          <w:b/>
          <w:bCs/>
          <w:i/>
          <w:sz w:val="22"/>
          <w:szCs w:val="22"/>
        </w:rPr>
      </w:pPr>
      <w:r w:rsidRPr="005D234B">
        <w:rPr>
          <w:rFonts w:ascii="Arial" w:hAnsi="Arial" w:cs="Arial"/>
          <w:b/>
          <w:bCs/>
          <w:i/>
          <w:sz w:val="22"/>
          <w:szCs w:val="22"/>
        </w:rPr>
        <w:t>Cuadro N°5</w:t>
      </w:r>
    </w:p>
    <w:p w:rsidR="005D234B" w:rsidRPr="005D234B" w:rsidRDefault="005D234B" w:rsidP="005D234B">
      <w:pPr>
        <w:jc w:val="center"/>
        <w:rPr>
          <w:rFonts w:ascii="Arial" w:hAnsi="Arial" w:cs="Arial"/>
          <w:i/>
          <w:sz w:val="22"/>
          <w:szCs w:val="22"/>
        </w:rPr>
      </w:pPr>
      <w:r w:rsidRPr="005D234B">
        <w:rPr>
          <w:rFonts w:ascii="Arial" w:hAnsi="Arial" w:cs="Arial"/>
          <w:i/>
          <w:sz w:val="22"/>
          <w:szCs w:val="22"/>
        </w:rPr>
        <w:t>Resultado total de evaluación</w:t>
      </w:r>
    </w:p>
    <w:tbl>
      <w:tblPr>
        <w:tblW w:w="9397" w:type="dxa"/>
        <w:jc w:val="center"/>
        <w:tblCellMar>
          <w:left w:w="0" w:type="dxa"/>
          <w:right w:w="0" w:type="dxa"/>
        </w:tblCellMar>
        <w:tblLook w:val="04A0" w:firstRow="1" w:lastRow="0" w:firstColumn="1" w:lastColumn="0" w:noHBand="0" w:noVBand="1"/>
      </w:tblPr>
      <w:tblGrid>
        <w:gridCol w:w="1995"/>
        <w:gridCol w:w="1234"/>
        <w:gridCol w:w="2210"/>
        <w:gridCol w:w="2253"/>
        <w:gridCol w:w="1705"/>
      </w:tblGrid>
      <w:tr w:rsidR="005D234B" w:rsidRPr="005D234B" w:rsidTr="00D1579B">
        <w:trPr>
          <w:trHeight w:val="241"/>
          <w:jc w:val="center"/>
        </w:trPr>
        <w:tc>
          <w:tcPr>
            <w:tcW w:w="1995"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5D234B" w:rsidRPr="005D234B" w:rsidRDefault="005D234B" w:rsidP="005D234B">
            <w:pPr>
              <w:jc w:val="center"/>
              <w:rPr>
                <w:rFonts w:ascii="Arial" w:hAnsi="Arial" w:cs="Arial"/>
                <w:b/>
                <w:bCs/>
                <w:i/>
                <w:iCs/>
                <w:sz w:val="16"/>
                <w:szCs w:val="16"/>
              </w:rPr>
            </w:pPr>
          </w:p>
          <w:p w:rsidR="005D234B" w:rsidRPr="005D234B" w:rsidRDefault="005D234B" w:rsidP="005D234B">
            <w:pPr>
              <w:jc w:val="center"/>
              <w:rPr>
                <w:rFonts w:ascii="Arial" w:hAnsi="Arial" w:cs="Arial"/>
                <w:b/>
                <w:bCs/>
                <w:i/>
                <w:iCs/>
                <w:sz w:val="16"/>
                <w:szCs w:val="16"/>
              </w:rPr>
            </w:pPr>
            <w:r w:rsidRPr="005D234B">
              <w:rPr>
                <w:rFonts w:ascii="Arial" w:hAnsi="Arial" w:cs="Arial"/>
                <w:b/>
                <w:bCs/>
                <w:i/>
                <w:iCs/>
                <w:sz w:val="16"/>
                <w:szCs w:val="16"/>
              </w:rPr>
              <w:t>Factor</w:t>
            </w:r>
          </w:p>
        </w:tc>
        <w:tc>
          <w:tcPr>
            <w:tcW w:w="1234"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5D234B" w:rsidRPr="005D234B" w:rsidRDefault="005D234B" w:rsidP="005D234B">
            <w:pPr>
              <w:jc w:val="center"/>
              <w:rPr>
                <w:rFonts w:ascii="Arial" w:hAnsi="Arial" w:cs="Arial"/>
                <w:b/>
                <w:bCs/>
                <w:i/>
                <w:iCs/>
                <w:sz w:val="16"/>
                <w:szCs w:val="16"/>
              </w:rPr>
            </w:pPr>
          </w:p>
          <w:p w:rsidR="005D234B" w:rsidRPr="005D234B" w:rsidRDefault="005D234B" w:rsidP="005D234B">
            <w:pPr>
              <w:jc w:val="center"/>
              <w:rPr>
                <w:rFonts w:ascii="Arial" w:hAnsi="Arial" w:cs="Arial"/>
                <w:b/>
                <w:bCs/>
                <w:i/>
                <w:iCs/>
                <w:sz w:val="16"/>
                <w:szCs w:val="16"/>
              </w:rPr>
            </w:pPr>
            <w:r w:rsidRPr="005D234B">
              <w:rPr>
                <w:rFonts w:ascii="Arial" w:hAnsi="Arial" w:cs="Arial"/>
                <w:b/>
                <w:bCs/>
                <w:i/>
                <w:iCs/>
                <w:sz w:val="16"/>
                <w:szCs w:val="16"/>
              </w:rPr>
              <w:t>Porcentaje</w:t>
            </w:r>
          </w:p>
        </w:tc>
        <w:tc>
          <w:tcPr>
            <w:tcW w:w="2210"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5D234B" w:rsidRPr="005D234B" w:rsidRDefault="005D234B" w:rsidP="005D234B">
            <w:pPr>
              <w:jc w:val="center"/>
              <w:rPr>
                <w:rFonts w:ascii="Arial" w:hAnsi="Arial" w:cs="Arial"/>
                <w:b/>
                <w:i/>
                <w:sz w:val="16"/>
                <w:szCs w:val="16"/>
              </w:rPr>
            </w:pPr>
            <w:r w:rsidRPr="005D234B">
              <w:rPr>
                <w:rFonts w:ascii="Arial" w:hAnsi="Arial" w:cs="Arial"/>
                <w:b/>
                <w:i/>
                <w:sz w:val="16"/>
                <w:szCs w:val="16"/>
              </w:rPr>
              <w:t>OFERTA 1</w:t>
            </w:r>
          </w:p>
          <w:p w:rsidR="005D234B" w:rsidRPr="005D234B" w:rsidRDefault="005D234B" w:rsidP="005D234B">
            <w:pPr>
              <w:jc w:val="center"/>
              <w:rPr>
                <w:rFonts w:ascii="Arial" w:hAnsi="Arial" w:cs="Arial"/>
                <w:b/>
                <w:i/>
                <w:sz w:val="16"/>
                <w:szCs w:val="16"/>
              </w:rPr>
            </w:pPr>
          </w:p>
          <w:p w:rsidR="005D234B" w:rsidRPr="005D234B" w:rsidRDefault="005D234B" w:rsidP="005D234B">
            <w:pPr>
              <w:jc w:val="center"/>
              <w:rPr>
                <w:rFonts w:ascii="Arial" w:hAnsi="Arial" w:cs="Arial"/>
                <w:b/>
                <w:bCs/>
                <w:i/>
                <w:iCs/>
                <w:sz w:val="16"/>
                <w:szCs w:val="16"/>
              </w:rPr>
            </w:pPr>
            <w:r w:rsidRPr="005D234B">
              <w:rPr>
                <w:rFonts w:ascii="Arial" w:hAnsi="Arial" w:cs="Arial"/>
                <w:b/>
                <w:i/>
                <w:sz w:val="16"/>
                <w:szCs w:val="16"/>
              </w:rPr>
              <w:t>Consorcio A&amp;C</w:t>
            </w:r>
          </w:p>
        </w:tc>
        <w:tc>
          <w:tcPr>
            <w:tcW w:w="2253" w:type="dxa"/>
            <w:tcBorders>
              <w:top w:val="single" w:sz="12" w:space="0" w:color="000000"/>
              <w:left w:val="single" w:sz="4" w:space="0" w:color="auto"/>
              <w:bottom w:val="single" w:sz="8" w:space="0" w:color="000000"/>
              <w:right w:val="single" w:sz="4" w:space="0" w:color="auto"/>
            </w:tcBorders>
            <w:shd w:val="clear" w:color="auto" w:fill="auto"/>
          </w:tcPr>
          <w:p w:rsidR="005D234B" w:rsidRPr="005D234B" w:rsidRDefault="005D234B" w:rsidP="005D234B">
            <w:pPr>
              <w:jc w:val="center"/>
              <w:rPr>
                <w:rFonts w:ascii="Arial" w:hAnsi="Arial" w:cs="Arial"/>
                <w:b/>
                <w:i/>
                <w:sz w:val="16"/>
                <w:szCs w:val="16"/>
              </w:rPr>
            </w:pPr>
            <w:r w:rsidRPr="005D234B">
              <w:rPr>
                <w:rFonts w:ascii="Arial" w:hAnsi="Arial" w:cs="Arial"/>
                <w:b/>
                <w:i/>
                <w:sz w:val="16"/>
                <w:szCs w:val="16"/>
              </w:rPr>
              <w:t>OFERTA 2</w:t>
            </w:r>
          </w:p>
          <w:p w:rsidR="005D234B" w:rsidRPr="005D234B" w:rsidRDefault="005D234B" w:rsidP="005D234B">
            <w:pPr>
              <w:jc w:val="center"/>
              <w:rPr>
                <w:rFonts w:ascii="Arial" w:hAnsi="Arial" w:cs="Arial"/>
                <w:b/>
                <w:i/>
                <w:sz w:val="16"/>
                <w:szCs w:val="16"/>
              </w:rPr>
            </w:pPr>
          </w:p>
          <w:p w:rsidR="005D234B" w:rsidRPr="005D234B" w:rsidRDefault="005D234B" w:rsidP="005D234B">
            <w:pPr>
              <w:jc w:val="center"/>
              <w:rPr>
                <w:rFonts w:ascii="Arial" w:hAnsi="Arial" w:cs="Arial"/>
                <w:b/>
                <w:bCs/>
                <w:i/>
                <w:iCs/>
                <w:sz w:val="16"/>
                <w:szCs w:val="16"/>
              </w:rPr>
            </w:pPr>
            <w:r w:rsidRPr="005D234B">
              <w:rPr>
                <w:rFonts w:ascii="Arial" w:hAnsi="Arial" w:cs="Arial"/>
                <w:b/>
                <w:i/>
                <w:sz w:val="16"/>
                <w:szCs w:val="16"/>
              </w:rPr>
              <w:t xml:space="preserve">Servicios de Limpieza a su Medida </w:t>
            </w:r>
            <w:proofErr w:type="spellStart"/>
            <w:r w:rsidRPr="005D234B">
              <w:rPr>
                <w:rFonts w:ascii="Arial" w:hAnsi="Arial" w:cs="Arial"/>
                <w:b/>
                <w:i/>
                <w:sz w:val="16"/>
                <w:szCs w:val="16"/>
              </w:rPr>
              <w:t>Selime</w:t>
            </w:r>
            <w:proofErr w:type="spellEnd"/>
            <w:r w:rsidRPr="005D234B">
              <w:rPr>
                <w:rFonts w:ascii="Arial" w:hAnsi="Arial" w:cs="Arial"/>
                <w:b/>
                <w:i/>
                <w:sz w:val="16"/>
                <w:szCs w:val="16"/>
              </w:rPr>
              <w:t xml:space="preserve"> S.A.</w:t>
            </w:r>
          </w:p>
        </w:tc>
        <w:tc>
          <w:tcPr>
            <w:tcW w:w="1705" w:type="dxa"/>
            <w:tcBorders>
              <w:top w:val="single" w:sz="12" w:space="0" w:color="000000"/>
              <w:left w:val="single" w:sz="4" w:space="0" w:color="auto"/>
              <w:bottom w:val="single" w:sz="8" w:space="0" w:color="000000"/>
              <w:right w:val="single" w:sz="4" w:space="0" w:color="auto"/>
            </w:tcBorders>
            <w:shd w:val="clear" w:color="auto" w:fill="auto"/>
          </w:tcPr>
          <w:p w:rsidR="005D234B" w:rsidRPr="005D234B" w:rsidRDefault="005D234B" w:rsidP="005D234B">
            <w:pPr>
              <w:jc w:val="center"/>
              <w:rPr>
                <w:rFonts w:ascii="Arial" w:hAnsi="Arial" w:cs="Arial"/>
                <w:b/>
                <w:i/>
                <w:sz w:val="16"/>
                <w:szCs w:val="16"/>
              </w:rPr>
            </w:pPr>
            <w:r w:rsidRPr="005D234B">
              <w:rPr>
                <w:rFonts w:ascii="Arial" w:hAnsi="Arial" w:cs="Arial"/>
                <w:b/>
                <w:i/>
                <w:sz w:val="16"/>
                <w:szCs w:val="16"/>
              </w:rPr>
              <w:t>OFERTA 5</w:t>
            </w:r>
          </w:p>
          <w:p w:rsidR="005D234B" w:rsidRPr="005D234B" w:rsidRDefault="005D234B" w:rsidP="005D234B">
            <w:pPr>
              <w:jc w:val="center"/>
              <w:rPr>
                <w:rFonts w:ascii="Arial" w:hAnsi="Arial" w:cs="Arial"/>
                <w:b/>
                <w:i/>
                <w:sz w:val="16"/>
                <w:szCs w:val="16"/>
              </w:rPr>
            </w:pPr>
          </w:p>
          <w:p w:rsidR="005D234B" w:rsidRPr="005D234B" w:rsidRDefault="005D234B" w:rsidP="005D234B">
            <w:pPr>
              <w:jc w:val="center"/>
              <w:rPr>
                <w:rFonts w:ascii="Arial" w:hAnsi="Arial" w:cs="Arial"/>
                <w:b/>
                <w:bCs/>
                <w:i/>
                <w:iCs/>
                <w:sz w:val="16"/>
                <w:szCs w:val="16"/>
              </w:rPr>
            </w:pPr>
            <w:proofErr w:type="spellStart"/>
            <w:r w:rsidRPr="005D234B">
              <w:rPr>
                <w:rFonts w:ascii="Arial" w:hAnsi="Arial" w:cs="Arial"/>
                <w:b/>
                <w:i/>
                <w:sz w:val="16"/>
                <w:szCs w:val="16"/>
              </w:rPr>
              <w:t>Multinegocios</w:t>
            </w:r>
            <w:proofErr w:type="spellEnd"/>
            <w:r w:rsidRPr="005D234B">
              <w:rPr>
                <w:rFonts w:ascii="Arial" w:hAnsi="Arial" w:cs="Arial"/>
                <w:b/>
                <w:i/>
                <w:sz w:val="16"/>
                <w:szCs w:val="16"/>
              </w:rPr>
              <w:t xml:space="preserve"> Internacionales América S.A.</w:t>
            </w:r>
          </w:p>
        </w:tc>
      </w:tr>
      <w:tr w:rsidR="005D234B" w:rsidRPr="005D234B" w:rsidTr="00D1579B">
        <w:trPr>
          <w:trHeight w:val="98"/>
          <w:jc w:val="center"/>
        </w:trPr>
        <w:tc>
          <w:tcPr>
            <w:tcW w:w="199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D234B" w:rsidRPr="005D234B" w:rsidRDefault="005D234B" w:rsidP="005D234B">
            <w:pPr>
              <w:tabs>
                <w:tab w:val="left" w:pos="426"/>
              </w:tabs>
              <w:jc w:val="both"/>
              <w:rPr>
                <w:rFonts w:ascii="Arial" w:hAnsi="Arial" w:cs="Arial"/>
                <w:i/>
                <w:sz w:val="16"/>
                <w:szCs w:val="16"/>
              </w:rPr>
            </w:pPr>
            <w:r w:rsidRPr="005D234B">
              <w:rPr>
                <w:rFonts w:ascii="Arial" w:hAnsi="Arial" w:cs="Arial"/>
                <w:i/>
                <w:sz w:val="16"/>
                <w:szCs w:val="16"/>
              </w:rPr>
              <w:t>Precio</w:t>
            </w:r>
          </w:p>
        </w:tc>
        <w:tc>
          <w:tcPr>
            <w:tcW w:w="123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D234B" w:rsidRPr="005D234B" w:rsidRDefault="005D234B" w:rsidP="005D234B">
            <w:pPr>
              <w:jc w:val="center"/>
              <w:rPr>
                <w:rFonts w:ascii="Arial" w:hAnsi="Arial" w:cs="Arial"/>
                <w:i/>
                <w:sz w:val="16"/>
                <w:szCs w:val="16"/>
              </w:rPr>
            </w:pPr>
            <w:r w:rsidRPr="005D234B">
              <w:rPr>
                <w:rFonts w:ascii="Arial" w:hAnsi="Arial" w:cs="Arial"/>
                <w:i/>
                <w:sz w:val="16"/>
                <w:szCs w:val="16"/>
              </w:rPr>
              <w:t>60%</w:t>
            </w:r>
          </w:p>
        </w:tc>
        <w:tc>
          <w:tcPr>
            <w:tcW w:w="221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D234B" w:rsidRPr="005D234B" w:rsidRDefault="005D234B" w:rsidP="005D234B">
            <w:pPr>
              <w:jc w:val="center"/>
              <w:rPr>
                <w:rFonts w:ascii="Arial" w:hAnsi="Arial" w:cs="Arial"/>
                <w:i/>
                <w:sz w:val="16"/>
                <w:szCs w:val="16"/>
              </w:rPr>
            </w:pPr>
            <w:r w:rsidRPr="005D234B">
              <w:rPr>
                <w:rFonts w:ascii="Arial" w:hAnsi="Arial" w:cs="Arial"/>
                <w:i/>
                <w:color w:val="000000"/>
                <w:sz w:val="16"/>
                <w:szCs w:val="16"/>
              </w:rPr>
              <w:t>48,62%</w:t>
            </w:r>
          </w:p>
        </w:tc>
        <w:tc>
          <w:tcPr>
            <w:tcW w:w="2253" w:type="dxa"/>
            <w:tcBorders>
              <w:left w:val="single" w:sz="4" w:space="0" w:color="auto"/>
              <w:bottom w:val="single" w:sz="4" w:space="0" w:color="auto"/>
              <w:right w:val="single" w:sz="4" w:space="0" w:color="auto"/>
            </w:tcBorders>
            <w:shd w:val="clear" w:color="auto" w:fill="auto"/>
            <w:vAlign w:val="bottom"/>
          </w:tcPr>
          <w:p w:rsidR="005D234B" w:rsidRPr="005D234B" w:rsidRDefault="005D234B" w:rsidP="005D234B">
            <w:pPr>
              <w:jc w:val="center"/>
              <w:rPr>
                <w:rFonts w:ascii="Arial" w:hAnsi="Arial" w:cs="Arial"/>
                <w:i/>
                <w:sz w:val="16"/>
                <w:szCs w:val="16"/>
              </w:rPr>
            </w:pPr>
            <w:r w:rsidRPr="005D234B">
              <w:rPr>
                <w:rFonts w:ascii="Arial" w:hAnsi="Arial" w:cs="Arial"/>
                <w:i/>
                <w:color w:val="000000"/>
                <w:sz w:val="16"/>
                <w:szCs w:val="16"/>
              </w:rPr>
              <w:t>52,91%</w:t>
            </w:r>
          </w:p>
        </w:tc>
        <w:tc>
          <w:tcPr>
            <w:tcW w:w="1705" w:type="dxa"/>
            <w:tcBorders>
              <w:left w:val="single" w:sz="4" w:space="0" w:color="auto"/>
              <w:bottom w:val="single" w:sz="4" w:space="0" w:color="auto"/>
              <w:right w:val="single" w:sz="4" w:space="0" w:color="auto"/>
            </w:tcBorders>
            <w:shd w:val="clear" w:color="auto" w:fill="auto"/>
            <w:vAlign w:val="bottom"/>
          </w:tcPr>
          <w:p w:rsidR="005D234B" w:rsidRPr="005D234B" w:rsidRDefault="005D234B" w:rsidP="005D234B">
            <w:pPr>
              <w:jc w:val="center"/>
              <w:rPr>
                <w:rFonts w:ascii="Arial" w:hAnsi="Arial" w:cs="Arial"/>
                <w:i/>
                <w:sz w:val="16"/>
                <w:szCs w:val="16"/>
              </w:rPr>
            </w:pPr>
            <w:r w:rsidRPr="005D234B">
              <w:rPr>
                <w:rFonts w:ascii="Arial" w:hAnsi="Arial" w:cs="Arial"/>
                <w:i/>
                <w:color w:val="000000"/>
                <w:sz w:val="16"/>
                <w:szCs w:val="16"/>
              </w:rPr>
              <w:t>60,00%</w:t>
            </w:r>
          </w:p>
        </w:tc>
      </w:tr>
      <w:tr w:rsidR="005D234B" w:rsidRPr="005D234B" w:rsidTr="00D1579B">
        <w:trPr>
          <w:trHeight w:val="112"/>
          <w:jc w:val="center"/>
        </w:trPr>
        <w:tc>
          <w:tcPr>
            <w:tcW w:w="1995"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hideMark/>
          </w:tcPr>
          <w:p w:rsidR="005D234B" w:rsidRPr="005D234B" w:rsidRDefault="005D234B" w:rsidP="005D234B">
            <w:pPr>
              <w:tabs>
                <w:tab w:val="left" w:pos="426"/>
              </w:tabs>
              <w:rPr>
                <w:rFonts w:ascii="Arial" w:hAnsi="Arial" w:cs="Arial"/>
                <w:i/>
                <w:sz w:val="16"/>
                <w:szCs w:val="16"/>
              </w:rPr>
            </w:pPr>
            <w:r w:rsidRPr="005D234B">
              <w:rPr>
                <w:rFonts w:ascii="Arial" w:hAnsi="Arial" w:cs="Arial"/>
                <w:i/>
                <w:sz w:val="16"/>
                <w:szCs w:val="16"/>
              </w:rPr>
              <w:t xml:space="preserve">Criterios sostenibles </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5D234B" w:rsidRPr="005D234B" w:rsidRDefault="005D234B" w:rsidP="005D234B">
            <w:pPr>
              <w:jc w:val="center"/>
              <w:rPr>
                <w:rFonts w:ascii="Arial" w:hAnsi="Arial" w:cs="Arial"/>
                <w:i/>
                <w:sz w:val="16"/>
                <w:szCs w:val="16"/>
              </w:rPr>
            </w:pPr>
            <w:r w:rsidRPr="005D234B">
              <w:rPr>
                <w:rFonts w:ascii="Arial" w:hAnsi="Arial" w:cs="Arial"/>
                <w:i/>
                <w:sz w:val="16"/>
                <w:szCs w:val="16"/>
              </w:rPr>
              <w:t>30%</w:t>
            </w:r>
          </w:p>
        </w:tc>
        <w:tc>
          <w:tcPr>
            <w:tcW w:w="22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5D234B" w:rsidRPr="005D234B" w:rsidRDefault="005D234B" w:rsidP="005D234B">
            <w:pPr>
              <w:jc w:val="center"/>
              <w:rPr>
                <w:rFonts w:ascii="Arial" w:hAnsi="Arial" w:cs="Arial"/>
                <w:i/>
                <w:sz w:val="16"/>
                <w:szCs w:val="16"/>
              </w:rPr>
            </w:pPr>
            <w:r w:rsidRPr="005D234B">
              <w:rPr>
                <w:rFonts w:ascii="Arial" w:hAnsi="Arial" w:cs="Arial"/>
                <w:i/>
                <w:color w:val="000000"/>
                <w:sz w:val="16"/>
                <w:szCs w:val="16"/>
                <w:lang w:eastAsia="es-CR"/>
              </w:rPr>
              <w:t>15%</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5D234B" w:rsidRPr="005D234B" w:rsidRDefault="005D234B" w:rsidP="005D234B">
            <w:pPr>
              <w:jc w:val="center"/>
              <w:rPr>
                <w:rFonts w:ascii="Arial" w:hAnsi="Arial" w:cs="Arial"/>
                <w:i/>
                <w:sz w:val="16"/>
                <w:szCs w:val="16"/>
              </w:rPr>
            </w:pPr>
            <w:r w:rsidRPr="005D234B">
              <w:rPr>
                <w:rFonts w:ascii="Arial" w:hAnsi="Arial" w:cs="Arial"/>
                <w:i/>
                <w:color w:val="000000"/>
                <w:sz w:val="16"/>
                <w:szCs w:val="16"/>
                <w:lang w:eastAsia="es-CR"/>
              </w:rPr>
              <w:t>7,5%</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rsidR="005D234B" w:rsidRPr="005D234B" w:rsidRDefault="005D234B" w:rsidP="005D234B">
            <w:pPr>
              <w:jc w:val="center"/>
              <w:rPr>
                <w:rFonts w:ascii="Arial" w:hAnsi="Arial" w:cs="Arial"/>
                <w:i/>
                <w:sz w:val="16"/>
                <w:szCs w:val="16"/>
              </w:rPr>
            </w:pPr>
            <w:r w:rsidRPr="005D234B">
              <w:rPr>
                <w:rFonts w:ascii="Arial" w:hAnsi="Arial" w:cs="Arial"/>
                <w:i/>
                <w:color w:val="000000"/>
                <w:sz w:val="16"/>
                <w:szCs w:val="16"/>
                <w:lang w:eastAsia="es-CR"/>
              </w:rPr>
              <w:t>7,5%</w:t>
            </w:r>
          </w:p>
        </w:tc>
      </w:tr>
      <w:tr w:rsidR="005D234B" w:rsidRPr="005D234B" w:rsidTr="00D1579B">
        <w:trPr>
          <w:trHeight w:val="112"/>
          <w:jc w:val="center"/>
        </w:trPr>
        <w:tc>
          <w:tcPr>
            <w:tcW w:w="1995"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5D234B" w:rsidRPr="005D234B" w:rsidRDefault="005D234B" w:rsidP="005D234B">
            <w:pPr>
              <w:tabs>
                <w:tab w:val="left" w:pos="426"/>
              </w:tabs>
              <w:rPr>
                <w:rFonts w:ascii="Arial" w:hAnsi="Arial" w:cs="Arial"/>
                <w:i/>
                <w:sz w:val="16"/>
                <w:szCs w:val="16"/>
              </w:rPr>
            </w:pPr>
            <w:r w:rsidRPr="005D234B">
              <w:rPr>
                <w:rFonts w:ascii="Arial" w:hAnsi="Arial" w:cs="Arial"/>
                <w:i/>
                <w:sz w:val="16"/>
                <w:szCs w:val="16"/>
              </w:rPr>
              <w:t>Experiencia</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5D234B" w:rsidRPr="005D234B" w:rsidRDefault="005D234B" w:rsidP="005D234B">
            <w:pPr>
              <w:jc w:val="center"/>
              <w:rPr>
                <w:rFonts w:ascii="Arial" w:hAnsi="Arial" w:cs="Arial"/>
                <w:i/>
                <w:sz w:val="16"/>
                <w:szCs w:val="16"/>
              </w:rPr>
            </w:pPr>
            <w:r w:rsidRPr="005D234B">
              <w:rPr>
                <w:rFonts w:ascii="Arial" w:hAnsi="Arial" w:cs="Arial"/>
                <w:i/>
                <w:sz w:val="16"/>
                <w:szCs w:val="16"/>
              </w:rPr>
              <w:t>10%</w:t>
            </w:r>
          </w:p>
        </w:tc>
        <w:tc>
          <w:tcPr>
            <w:tcW w:w="22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234B" w:rsidRPr="005D234B" w:rsidRDefault="005D234B" w:rsidP="005D234B">
            <w:pPr>
              <w:jc w:val="center"/>
              <w:rPr>
                <w:rFonts w:ascii="Arial" w:hAnsi="Arial" w:cs="Arial"/>
                <w:i/>
                <w:sz w:val="16"/>
                <w:szCs w:val="16"/>
              </w:rPr>
            </w:pPr>
            <w:r w:rsidRPr="005D234B">
              <w:rPr>
                <w:rFonts w:ascii="Arial" w:hAnsi="Arial" w:cs="Arial"/>
                <w:i/>
                <w:sz w:val="16"/>
                <w:szCs w:val="16"/>
              </w:rPr>
              <w:t>10%</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5D234B" w:rsidRPr="005D234B" w:rsidRDefault="005D234B" w:rsidP="005D234B">
            <w:pPr>
              <w:jc w:val="center"/>
              <w:rPr>
                <w:rFonts w:ascii="Arial" w:hAnsi="Arial" w:cs="Arial"/>
                <w:i/>
                <w:sz w:val="16"/>
                <w:szCs w:val="16"/>
              </w:rPr>
            </w:pPr>
            <w:r w:rsidRPr="005D234B">
              <w:rPr>
                <w:rFonts w:ascii="Arial" w:hAnsi="Arial" w:cs="Arial"/>
                <w:i/>
                <w:sz w:val="16"/>
                <w:szCs w:val="16"/>
              </w:rPr>
              <w:t>10%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D234B" w:rsidRPr="005D234B" w:rsidRDefault="005D234B" w:rsidP="005D234B">
            <w:pPr>
              <w:jc w:val="center"/>
              <w:rPr>
                <w:rFonts w:ascii="Arial" w:hAnsi="Arial" w:cs="Arial"/>
                <w:i/>
                <w:sz w:val="16"/>
                <w:szCs w:val="16"/>
              </w:rPr>
            </w:pPr>
            <w:r w:rsidRPr="005D234B">
              <w:rPr>
                <w:rFonts w:ascii="Arial" w:hAnsi="Arial" w:cs="Arial"/>
                <w:i/>
                <w:sz w:val="16"/>
                <w:szCs w:val="16"/>
              </w:rPr>
              <w:t>10%</w:t>
            </w:r>
          </w:p>
        </w:tc>
      </w:tr>
      <w:tr w:rsidR="005D234B" w:rsidRPr="005D234B" w:rsidTr="00D1579B">
        <w:trPr>
          <w:trHeight w:val="126"/>
          <w:jc w:val="center"/>
        </w:trPr>
        <w:tc>
          <w:tcPr>
            <w:tcW w:w="1995"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5D234B" w:rsidRPr="005D234B" w:rsidRDefault="005D234B" w:rsidP="005D234B">
            <w:pPr>
              <w:rPr>
                <w:rFonts w:ascii="Arial" w:hAnsi="Arial" w:cs="Arial"/>
                <w:b/>
                <w:i/>
                <w:sz w:val="16"/>
                <w:szCs w:val="16"/>
              </w:rPr>
            </w:pPr>
            <w:r w:rsidRPr="005D234B">
              <w:rPr>
                <w:rFonts w:ascii="Arial" w:hAnsi="Arial" w:cs="Arial"/>
                <w:b/>
                <w:i/>
                <w:sz w:val="16"/>
                <w:szCs w:val="16"/>
              </w:rPr>
              <w:t>Total</w:t>
            </w:r>
          </w:p>
        </w:tc>
        <w:tc>
          <w:tcPr>
            <w:tcW w:w="1234"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5D234B" w:rsidRPr="005D234B" w:rsidRDefault="005D234B" w:rsidP="005D234B">
            <w:pPr>
              <w:jc w:val="center"/>
              <w:rPr>
                <w:rFonts w:ascii="Arial" w:hAnsi="Arial" w:cs="Arial"/>
                <w:b/>
                <w:i/>
                <w:sz w:val="16"/>
                <w:szCs w:val="16"/>
              </w:rPr>
            </w:pPr>
            <w:r w:rsidRPr="005D234B">
              <w:rPr>
                <w:rFonts w:ascii="Arial" w:hAnsi="Arial" w:cs="Arial"/>
                <w:b/>
                <w:i/>
                <w:sz w:val="16"/>
                <w:szCs w:val="16"/>
              </w:rPr>
              <w:t>100 %</w:t>
            </w:r>
          </w:p>
        </w:tc>
        <w:tc>
          <w:tcPr>
            <w:tcW w:w="221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bottom"/>
            <w:hideMark/>
          </w:tcPr>
          <w:p w:rsidR="005D234B" w:rsidRPr="005D234B" w:rsidRDefault="005D234B" w:rsidP="005D234B">
            <w:pPr>
              <w:jc w:val="center"/>
              <w:rPr>
                <w:rFonts w:ascii="Arial" w:hAnsi="Arial" w:cs="Arial"/>
                <w:b/>
                <w:i/>
                <w:sz w:val="16"/>
                <w:szCs w:val="16"/>
              </w:rPr>
            </w:pPr>
            <w:r w:rsidRPr="005D234B">
              <w:rPr>
                <w:rFonts w:ascii="Arial" w:hAnsi="Arial" w:cs="Arial"/>
                <w:b/>
                <w:i/>
                <w:color w:val="000000"/>
                <w:sz w:val="16"/>
                <w:szCs w:val="16"/>
              </w:rPr>
              <w:t>78,62%</w:t>
            </w:r>
          </w:p>
        </w:tc>
        <w:tc>
          <w:tcPr>
            <w:tcW w:w="2253" w:type="dxa"/>
            <w:tcBorders>
              <w:top w:val="single" w:sz="4" w:space="0" w:color="auto"/>
              <w:left w:val="single" w:sz="4" w:space="0" w:color="auto"/>
              <w:bottom w:val="single" w:sz="12" w:space="0" w:color="000000"/>
              <w:right w:val="single" w:sz="4" w:space="0" w:color="auto"/>
            </w:tcBorders>
            <w:shd w:val="clear" w:color="auto" w:fill="auto"/>
            <w:vAlign w:val="bottom"/>
          </w:tcPr>
          <w:p w:rsidR="005D234B" w:rsidRPr="005D234B" w:rsidRDefault="005D234B" w:rsidP="005D234B">
            <w:pPr>
              <w:jc w:val="center"/>
              <w:rPr>
                <w:rFonts w:ascii="Arial" w:hAnsi="Arial" w:cs="Arial"/>
                <w:b/>
                <w:i/>
                <w:sz w:val="16"/>
                <w:szCs w:val="16"/>
              </w:rPr>
            </w:pPr>
            <w:r w:rsidRPr="005D234B">
              <w:rPr>
                <w:rFonts w:ascii="Arial" w:hAnsi="Arial" w:cs="Arial"/>
                <w:b/>
                <w:i/>
                <w:color w:val="000000"/>
                <w:sz w:val="16"/>
                <w:szCs w:val="16"/>
              </w:rPr>
              <w:t>70,41%</w:t>
            </w:r>
          </w:p>
        </w:tc>
        <w:tc>
          <w:tcPr>
            <w:tcW w:w="1705" w:type="dxa"/>
            <w:tcBorders>
              <w:top w:val="single" w:sz="4" w:space="0" w:color="auto"/>
              <w:left w:val="single" w:sz="4" w:space="0" w:color="auto"/>
              <w:bottom w:val="single" w:sz="12" w:space="0" w:color="000000"/>
              <w:right w:val="single" w:sz="4" w:space="0" w:color="auto"/>
            </w:tcBorders>
            <w:shd w:val="clear" w:color="auto" w:fill="auto"/>
            <w:vAlign w:val="bottom"/>
          </w:tcPr>
          <w:p w:rsidR="005D234B" w:rsidRPr="005D234B" w:rsidRDefault="005D234B" w:rsidP="005D234B">
            <w:pPr>
              <w:jc w:val="center"/>
              <w:rPr>
                <w:rFonts w:ascii="Arial" w:hAnsi="Arial" w:cs="Arial"/>
                <w:b/>
                <w:i/>
                <w:sz w:val="16"/>
                <w:szCs w:val="16"/>
              </w:rPr>
            </w:pPr>
            <w:r w:rsidRPr="005D234B">
              <w:rPr>
                <w:rFonts w:ascii="Arial" w:hAnsi="Arial" w:cs="Arial"/>
                <w:b/>
                <w:i/>
                <w:color w:val="000000"/>
                <w:sz w:val="16"/>
                <w:szCs w:val="16"/>
              </w:rPr>
              <w:t>77,50%</w:t>
            </w:r>
          </w:p>
        </w:tc>
      </w:tr>
    </w:tbl>
    <w:p w:rsidR="005D234B" w:rsidRPr="005D234B" w:rsidRDefault="005D234B" w:rsidP="005D234B">
      <w:pPr>
        <w:ind w:right="423"/>
        <w:jc w:val="both"/>
        <w:rPr>
          <w:rFonts w:ascii="Arial" w:hAnsi="Arial" w:cs="Arial"/>
          <w:i/>
          <w:sz w:val="22"/>
          <w:szCs w:val="22"/>
        </w:rPr>
      </w:pPr>
    </w:p>
    <w:p w:rsidR="005D234B" w:rsidRPr="005D234B" w:rsidRDefault="005D234B" w:rsidP="005D234B">
      <w:pPr>
        <w:numPr>
          <w:ilvl w:val="0"/>
          <w:numId w:val="25"/>
        </w:numPr>
        <w:ind w:left="851" w:right="423" w:hanging="425"/>
        <w:jc w:val="both"/>
        <w:rPr>
          <w:rFonts w:ascii="Arial" w:hAnsi="Arial" w:cs="Arial"/>
          <w:i/>
          <w:sz w:val="22"/>
          <w:szCs w:val="22"/>
        </w:rPr>
      </w:pPr>
      <w:r w:rsidRPr="005D234B">
        <w:rPr>
          <w:rFonts w:ascii="Arial" w:hAnsi="Arial" w:cs="Arial"/>
          <w:i/>
          <w:sz w:val="22"/>
          <w:szCs w:val="22"/>
        </w:rPr>
        <w:t>La reevaluación modifica la calificación final, resultando con un porcentaje mayor la oferta presentada por el Consorcio A&amp;C.</w:t>
      </w:r>
    </w:p>
    <w:p w:rsidR="005D234B" w:rsidRPr="005D234B" w:rsidRDefault="005D234B" w:rsidP="005D234B">
      <w:pPr>
        <w:ind w:left="426" w:right="423"/>
        <w:jc w:val="both"/>
        <w:rPr>
          <w:rFonts w:ascii="Arial" w:hAnsi="Arial" w:cs="Arial"/>
          <w:i/>
          <w:sz w:val="22"/>
          <w:szCs w:val="22"/>
        </w:rPr>
      </w:pPr>
    </w:p>
    <w:p w:rsidR="005D234B" w:rsidRPr="005D234B" w:rsidRDefault="005D234B" w:rsidP="005D234B">
      <w:pPr>
        <w:numPr>
          <w:ilvl w:val="0"/>
          <w:numId w:val="25"/>
        </w:numPr>
        <w:ind w:left="851" w:right="423" w:hanging="425"/>
        <w:jc w:val="both"/>
        <w:rPr>
          <w:rFonts w:ascii="Arial" w:hAnsi="Arial" w:cs="Arial"/>
          <w:i/>
          <w:sz w:val="22"/>
          <w:szCs w:val="22"/>
        </w:rPr>
      </w:pPr>
      <w:r w:rsidRPr="005D234B">
        <w:rPr>
          <w:rFonts w:ascii="Arial" w:hAnsi="Arial" w:cs="Arial"/>
          <w:i/>
          <w:sz w:val="22"/>
          <w:szCs w:val="22"/>
        </w:rPr>
        <w:t>La estimación del servicio es de ¢162</w:t>
      </w:r>
      <w:proofErr w:type="gramStart"/>
      <w:r w:rsidRPr="005D234B">
        <w:rPr>
          <w:rFonts w:ascii="Arial" w:hAnsi="Arial" w:cs="Arial"/>
          <w:i/>
          <w:sz w:val="22"/>
          <w:szCs w:val="22"/>
        </w:rPr>
        <w:t>,000,000.00</w:t>
      </w:r>
      <w:proofErr w:type="gramEnd"/>
      <w:r w:rsidRPr="005D234B">
        <w:rPr>
          <w:rFonts w:ascii="Arial" w:hAnsi="Arial" w:cs="Arial"/>
          <w:i/>
          <w:sz w:val="22"/>
          <w:szCs w:val="22"/>
        </w:rPr>
        <w:t>, según consta en el pliego de condiciones.</w:t>
      </w:r>
    </w:p>
    <w:p w:rsidR="005D234B" w:rsidRPr="005D234B" w:rsidRDefault="005D234B" w:rsidP="005D234B">
      <w:pPr>
        <w:ind w:left="426" w:right="423"/>
        <w:jc w:val="both"/>
        <w:rPr>
          <w:rFonts w:ascii="Arial" w:hAnsi="Arial" w:cs="Arial"/>
          <w:i/>
          <w:sz w:val="22"/>
          <w:szCs w:val="22"/>
        </w:rPr>
      </w:pPr>
    </w:p>
    <w:p w:rsidR="005D234B" w:rsidRPr="005D234B" w:rsidRDefault="005D234B" w:rsidP="005D234B">
      <w:pPr>
        <w:numPr>
          <w:ilvl w:val="0"/>
          <w:numId w:val="25"/>
        </w:numPr>
        <w:ind w:left="851" w:right="423" w:hanging="425"/>
        <w:jc w:val="both"/>
        <w:rPr>
          <w:rFonts w:ascii="Arial" w:hAnsi="Arial" w:cs="Arial"/>
          <w:i/>
          <w:sz w:val="22"/>
          <w:szCs w:val="22"/>
        </w:rPr>
      </w:pPr>
      <w:r w:rsidRPr="005D234B">
        <w:rPr>
          <w:rFonts w:ascii="Arial" w:hAnsi="Arial" w:cs="Arial"/>
          <w:i/>
          <w:sz w:val="22"/>
          <w:szCs w:val="22"/>
        </w:rPr>
        <w:t>La oferta mejor calificada es la más onerosa para la Administración y sobrepasa el presupuesto asignado en un 50.86%.</w:t>
      </w:r>
    </w:p>
    <w:p w:rsidR="005D234B" w:rsidRPr="005D234B" w:rsidRDefault="005D234B" w:rsidP="005D234B">
      <w:pPr>
        <w:ind w:left="993" w:right="423" w:hanging="425"/>
        <w:jc w:val="both"/>
        <w:rPr>
          <w:rFonts w:ascii="Arial" w:hAnsi="Arial" w:cs="Arial"/>
          <w:i/>
          <w:sz w:val="20"/>
          <w:szCs w:val="20"/>
        </w:rPr>
      </w:pPr>
    </w:p>
    <w:p w:rsidR="005D234B" w:rsidRPr="005D234B" w:rsidRDefault="005D234B" w:rsidP="005D234B">
      <w:pPr>
        <w:ind w:left="993" w:right="423" w:hanging="425"/>
        <w:jc w:val="both"/>
        <w:rPr>
          <w:rFonts w:ascii="Arial" w:hAnsi="Arial" w:cs="Arial"/>
          <w:b/>
          <w:i/>
          <w:sz w:val="20"/>
          <w:szCs w:val="20"/>
        </w:rPr>
      </w:pPr>
      <w:r w:rsidRPr="005D234B">
        <w:rPr>
          <w:rFonts w:ascii="Arial" w:hAnsi="Arial" w:cs="Arial"/>
          <w:b/>
          <w:i/>
          <w:sz w:val="20"/>
          <w:szCs w:val="20"/>
        </w:rPr>
        <w:t>POR LO TANTO:</w:t>
      </w:r>
    </w:p>
    <w:p w:rsidR="005D234B" w:rsidRPr="005D234B" w:rsidRDefault="005D234B" w:rsidP="005D234B">
      <w:pPr>
        <w:ind w:left="993" w:right="423" w:hanging="425"/>
        <w:jc w:val="both"/>
        <w:rPr>
          <w:rFonts w:ascii="Arial" w:hAnsi="Arial" w:cs="Arial"/>
          <w:b/>
          <w:i/>
          <w:sz w:val="16"/>
          <w:szCs w:val="16"/>
        </w:rPr>
      </w:pPr>
    </w:p>
    <w:p w:rsidR="005D234B" w:rsidRPr="005D234B" w:rsidRDefault="005D234B" w:rsidP="005D234B">
      <w:pPr>
        <w:ind w:left="567" w:right="423"/>
        <w:jc w:val="both"/>
        <w:rPr>
          <w:rFonts w:ascii="Arial" w:hAnsi="Arial" w:cs="Arial"/>
          <w:i/>
          <w:sz w:val="22"/>
          <w:szCs w:val="22"/>
        </w:rPr>
      </w:pPr>
      <w:r w:rsidRPr="005D234B">
        <w:rPr>
          <w:rFonts w:ascii="Arial" w:hAnsi="Arial" w:cs="Arial"/>
          <w:i/>
          <w:sz w:val="22"/>
          <w:szCs w:val="22"/>
        </w:rPr>
        <w:t>Se resuelve declarar desierta la Licitación Pública Nº 2016LN-000003-APITCR Servicio de Aseo y Limpieza del Campus Cartago, por interés institucional, al amparo del Artículo 86 del Reglamento a la Ley de Contratación Administrativa.”</w:t>
      </w:r>
    </w:p>
    <w:p w:rsidR="005D234B" w:rsidRPr="005D234B" w:rsidRDefault="005D234B" w:rsidP="005D234B">
      <w:pPr>
        <w:ind w:left="567" w:right="423"/>
        <w:jc w:val="both"/>
        <w:rPr>
          <w:rFonts w:ascii="Arial" w:hAnsi="Arial" w:cs="Arial"/>
          <w:i/>
          <w:sz w:val="22"/>
          <w:szCs w:val="22"/>
        </w:rPr>
      </w:pPr>
    </w:p>
    <w:p w:rsidR="005D234B" w:rsidRPr="005D234B" w:rsidRDefault="005D234B" w:rsidP="005D234B">
      <w:pPr>
        <w:jc w:val="both"/>
        <w:outlineLvl w:val="0"/>
        <w:rPr>
          <w:rFonts w:ascii="Arial" w:hAnsi="Arial" w:cs="Arial"/>
          <w:b/>
        </w:rPr>
      </w:pPr>
      <w:r w:rsidRPr="005D234B">
        <w:rPr>
          <w:rFonts w:ascii="Arial" w:hAnsi="Arial" w:cs="Arial"/>
          <w:b/>
        </w:rPr>
        <w:t>CONSIDERANDO QUE:</w:t>
      </w:r>
    </w:p>
    <w:p w:rsidR="005D234B" w:rsidRPr="005D234B" w:rsidRDefault="005D234B" w:rsidP="005D234B">
      <w:pPr>
        <w:ind w:left="567" w:right="423"/>
        <w:jc w:val="both"/>
        <w:rPr>
          <w:rFonts w:ascii="Arial" w:hAnsi="Arial" w:cs="Arial"/>
          <w:i/>
          <w:sz w:val="22"/>
          <w:szCs w:val="22"/>
        </w:rPr>
      </w:pPr>
    </w:p>
    <w:p w:rsidR="005D234B" w:rsidRPr="005D234B" w:rsidRDefault="005D234B" w:rsidP="005D234B">
      <w:pPr>
        <w:numPr>
          <w:ilvl w:val="0"/>
          <w:numId w:val="23"/>
        </w:numPr>
        <w:tabs>
          <w:tab w:val="num" w:pos="465"/>
        </w:tabs>
        <w:ind w:left="465"/>
        <w:jc w:val="both"/>
        <w:rPr>
          <w:rFonts w:ascii="Arial" w:hAnsi="Arial" w:cs="Arial"/>
          <w:iCs/>
          <w:color w:val="000000"/>
        </w:rPr>
      </w:pPr>
      <w:r w:rsidRPr="005D234B">
        <w:rPr>
          <w:rFonts w:ascii="Arial" w:hAnsi="Arial" w:cs="Arial"/>
          <w:iCs/>
          <w:color w:val="000000"/>
        </w:rPr>
        <w:t>La Secretaría del Consejo Institucional recibió el oficio VAD-162-2017, con fecha de recibido 07 de marzo  del 2017, suscrito por el Dr. Luis Humberto Villalta, Vicerrector de Administración, dirigido  al Dr. Julio Calvo, Presidente del Consejo Institucional, con copia a los Miembros del Consejo Institucional, en el cual remite  Informe Declaratoria Desierta de la Licitación Pública Nº 2016LN-000003-APITCR “Servicio de Aseo y Limpieza Campus Cartago”, para someter a análisis y aprobación del Consejo Institucional.  Adjunta visto bueno de la Asesoría Legal, mediante el oficio AL-117-2017. (Anexos 5 y 6)</w:t>
      </w:r>
    </w:p>
    <w:p w:rsidR="005D234B" w:rsidRPr="005D234B" w:rsidRDefault="005D234B" w:rsidP="005D234B">
      <w:pPr>
        <w:jc w:val="both"/>
        <w:rPr>
          <w:rFonts w:ascii="Arial" w:hAnsi="Arial" w:cs="Arial"/>
          <w:iCs/>
          <w:color w:val="000000"/>
        </w:rPr>
      </w:pPr>
    </w:p>
    <w:p w:rsidR="005D234B" w:rsidRPr="005D234B" w:rsidRDefault="005D234B" w:rsidP="005D234B">
      <w:pPr>
        <w:ind w:left="426"/>
        <w:jc w:val="both"/>
        <w:rPr>
          <w:rFonts w:ascii="Arial" w:hAnsi="Arial" w:cs="Arial"/>
          <w:iCs/>
          <w:color w:val="000000"/>
        </w:rPr>
      </w:pPr>
      <w:r w:rsidRPr="005D234B">
        <w:rPr>
          <w:rFonts w:ascii="Arial" w:hAnsi="Arial" w:cs="Arial"/>
          <w:iCs/>
          <w:color w:val="000000"/>
        </w:rPr>
        <w:t xml:space="preserve">Asimismo solicita incluir el tema como punto de agenda vía excepción, en la sesión del Consejo Institucional del 8 de marzo de 2017, en virtud de que los plazos establecidos para la licitación vencen el 10 de marzo del año en curso. </w:t>
      </w:r>
    </w:p>
    <w:p w:rsidR="005D234B" w:rsidRPr="005D234B" w:rsidRDefault="005D234B" w:rsidP="005D234B">
      <w:pPr>
        <w:ind w:left="567" w:right="423"/>
        <w:jc w:val="both"/>
        <w:rPr>
          <w:rFonts w:ascii="Arial" w:hAnsi="Arial" w:cs="Arial"/>
          <w:sz w:val="22"/>
          <w:szCs w:val="22"/>
        </w:rPr>
      </w:pPr>
    </w:p>
    <w:p w:rsidR="005D234B" w:rsidRPr="005D234B" w:rsidRDefault="005D234B" w:rsidP="005D234B">
      <w:pPr>
        <w:numPr>
          <w:ilvl w:val="0"/>
          <w:numId w:val="23"/>
        </w:numPr>
        <w:tabs>
          <w:tab w:val="num" w:pos="465"/>
        </w:tabs>
        <w:ind w:left="465"/>
        <w:jc w:val="both"/>
        <w:rPr>
          <w:rFonts w:ascii="Arial" w:hAnsi="Arial" w:cs="Arial"/>
          <w:iCs/>
          <w:color w:val="FF0000"/>
        </w:rPr>
      </w:pPr>
      <w:r w:rsidRPr="005D234B">
        <w:rPr>
          <w:rFonts w:ascii="Arial" w:hAnsi="Arial" w:cs="Arial"/>
          <w:iCs/>
          <w:color w:val="000000"/>
        </w:rPr>
        <w:t xml:space="preserve">Una vez conocida la nota </w:t>
      </w:r>
      <w:proofErr w:type="spellStart"/>
      <w:r w:rsidRPr="005D234B">
        <w:rPr>
          <w:rFonts w:ascii="Arial" w:hAnsi="Arial" w:cs="Arial"/>
          <w:iCs/>
          <w:color w:val="000000"/>
        </w:rPr>
        <w:t>supracitada</w:t>
      </w:r>
      <w:proofErr w:type="spellEnd"/>
      <w:r w:rsidRPr="005D234B">
        <w:rPr>
          <w:rFonts w:ascii="Arial" w:hAnsi="Arial" w:cs="Arial"/>
          <w:iCs/>
          <w:color w:val="000000"/>
        </w:rPr>
        <w:t>, y en virtud de la urgencia, la Presidencia del Consejo Institucional dispone subir la propuesta al pleno para declarar desierto el proceso.</w:t>
      </w:r>
    </w:p>
    <w:p w:rsidR="005D234B" w:rsidRPr="005D234B" w:rsidRDefault="005D234B" w:rsidP="005D234B">
      <w:pPr>
        <w:jc w:val="both"/>
        <w:rPr>
          <w:rFonts w:ascii="Arial" w:hAnsi="Arial" w:cs="Arial"/>
          <w:b/>
          <w:lang w:val="es-MX"/>
        </w:rPr>
      </w:pPr>
    </w:p>
    <w:p w:rsidR="005D234B" w:rsidRPr="005D234B" w:rsidRDefault="005D234B" w:rsidP="005D234B">
      <w:pPr>
        <w:jc w:val="both"/>
        <w:rPr>
          <w:rFonts w:ascii="Arial" w:hAnsi="Arial" w:cs="Arial"/>
          <w:b/>
          <w:lang w:val="es-MX"/>
        </w:rPr>
      </w:pPr>
      <w:r w:rsidRPr="005D234B">
        <w:rPr>
          <w:rFonts w:ascii="Arial" w:hAnsi="Arial" w:cs="Arial"/>
          <w:b/>
          <w:lang w:val="es-MX"/>
        </w:rPr>
        <w:t>SE</w:t>
      </w:r>
      <w:r>
        <w:rPr>
          <w:rFonts w:ascii="Arial" w:hAnsi="Arial" w:cs="Arial"/>
          <w:b/>
          <w:lang w:val="es-MX"/>
        </w:rPr>
        <w:t xml:space="preserve"> ACUERDA</w:t>
      </w:r>
      <w:r w:rsidRPr="005D234B">
        <w:rPr>
          <w:rFonts w:ascii="Arial" w:hAnsi="Arial" w:cs="Arial"/>
          <w:b/>
          <w:lang w:val="es-MX"/>
        </w:rPr>
        <w:t>:</w:t>
      </w:r>
    </w:p>
    <w:p w:rsidR="005D234B" w:rsidRPr="005D234B" w:rsidRDefault="005D234B" w:rsidP="005D234B">
      <w:pPr>
        <w:jc w:val="both"/>
        <w:rPr>
          <w:rFonts w:ascii="Arial" w:hAnsi="Arial" w:cs="Arial"/>
          <w:sz w:val="20"/>
          <w:szCs w:val="20"/>
          <w:lang w:val="es-MX"/>
        </w:rPr>
      </w:pPr>
    </w:p>
    <w:p w:rsidR="005D234B" w:rsidRPr="005D234B" w:rsidRDefault="005D234B" w:rsidP="005D234B">
      <w:pPr>
        <w:numPr>
          <w:ilvl w:val="0"/>
          <w:numId w:val="24"/>
        </w:numPr>
        <w:ind w:left="426" w:hanging="426"/>
        <w:jc w:val="both"/>
        <w:rPr>
          <w:rFonts w:ascii="Arial" w:hAnsi="Arial" w:cs="Arial"/>
          <w:iCs/>
          <w:color w:val="000000"/>
        </w:rPr>
      </w:pPr>
      <w:r w:rsidRPr="005D234B">
        <w:rPr>
          <w:rFonts w:ascii="Arial" w:hAnsi="Arial" w:cs="Arial"/>
          <w:iCs/>
          <w:color w:val="000000"/>
        </w:rPr>
        <w:t>Declarar Desierta la Licitación Pública Nº 2016LN-000003-APITCR “Servicio de Aseo y Limpieza Campus Cartago”, al amparo del Art. 86 del Reglamento a la Ley de Contratación Administrativa.</w:t>
      </w:r>
    </w:p>
    <w:p w:rsidR="005D234B" w:rsidRPr="005D234B" w:rsidRDefault="005D234B" w:rsidP="005D234B">
      <w:pPr>
        <w:ind w:left="465"/>
        <w:jc w:val="both"/>
        <w:rPr>
          <w:rFonts w:ascii="Arial" w:hAnsi="Arial" w:cs="Arial"/>
          <w:iCs/>
          <w:color w:val="000000"/>
          <w:sz w:val="22"/>
          <w:szCs w:val="22"/>
        </w:rPr>
      </w:pPr>
    </w:p>
    <w:p w:rsidR="005D234B" w:rsidRPr="005D234B" w:rsidRDefault="005D234B" w:rsidP="005D234B">
      <w:pPr>
        <w:numPr>
          <w:ilvl w:val="0"/>
          <w:numId w:val="24"/>
        </w:numPr>
        <w:ind w:left="426" w:hanging="426"/>
        <w:jc w:val="both"/>
        <w:rPr>
          <w:rFonts w:ascii="Arial" w:hAnsi="Arial" w:cs="Arial"/>
          <w:iCs/>
          <w:color w:val="000000"/>
        </w:rPr>
      </w:pPr>
      <w:r w:rsidRPr="005D234B">
        <w:rPr>
          <w:rFonts w:ascii="Arial" w:hAnsi="Arial" w:cs="Arial"/>
          <w:iCs/>
          <w:color w:val="000000"/>
        </w:rPr>
        <w:t>Solicitar a la Administración que inicie un nuevo proceso licitatorio a la brevedad posible, para que dichos servicios no se vean descontinuados en la Sede Central.</w:t>
      </w:r>
    </w:p>
    <w:p w:rsidR="006B4FBB" w:rsidRPr="005D234B" w:rsidRDefault="006B4FBB" w:rsidP="006B4FBB">
      <w:pPr>
        <w:jc w:val="both"/>
        <w:rPr>
          <w:rFonts w:ascii="Arial" w:eastAsia="Calibri" w:hAnsi="Arial" w:cs="Arial"/>
          <w:iCs/>
        </w:rPr>
      </w:pPr>
    </w:p>
    <w:p w:rsidR="00CB682F" w:rsidRDefault="007742A1" w:rsidP="005D234B">
      <w:pPr>
        <w:numPr>
          <w:ilvl w:val="0"/>
          <w:numId w:val="24"/>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Pr="0026727D" w:rsidRDefault="0026727D" w:rsidP="0026727D">
      <w:pPr>
        <w:autoSpaceDE w:val="0"/>
        <w:autoSpaceDN w:val="0"/>
        <w:adjustRightInd w:val="0"/>
        <w:ind w:left="284"/>
        <w:jc w:val="both"/>
        <w:rPr>
          <w:rFonts w:ascii="Arial" w:hAnsi="Arial" w:cs="Arial"/>
          <w:b/>
          <w:lang w:val="es-CR"/>
        </w:rPr>
      </w:pPr>
    </w:p>
    <w:p w:rsidR="00474B22" w:rsidRDefault="00474B22" w:rsidP="00474B22">
      <w:pPr>
        <w:spacing w:line="360" w:lineRule="auto"/>
        <w:jc w:val="both"/>
        <w:outlineLvl w:val="0"/>
        <w:rPr>
          <w:rFonts w:ascii="Arial" w:eastAsia="Cambria" w:hAnsi="Arial" w:cs="Arial"/>
          <w:sz w:val="18"/>
          <w:szCs w:val="18"/>
          <w:lang w:val="es-CR" w:eastAsia="en-US"/>
        </w:rPr>
      </w:pPr>
    </w:p>
    <w:p w:rsidR="005D234B" w:rsidRPr="00727CEC" w:rsidRDefault="005D234B" w:rsidP="005D234B">
      <w:pPr>
        <w:autoSpaceDE w:val="0"/>
        <w:autoSpaceDN w:val="0"/>
        <w:adjustRightInd w:val="0"/>
        <w:jc w:val="both"/>
        <w:rPr>
          <w:rFonts w:ascii="Arial" w:hAnsi="Arial" w:cs="Arial"/>
          <w:b/>
          <w:sz w:val="20"/>
          <w:szCs w:val="20"/>
          <w:lang w:val="es-CR"/>
        </w:rPr>
      </w:pPr>
      <w:r w:rsidRPr="00727CEC">
        <w:rPr>
          <w:rFonts w:ascii="Arial" w:hAnsi="Arial" w:cs="Arial"/>
          <w:b/>
          <w:sz w:val="20"/>
          <w:szCs w:val="20"/>
          <w:lang w:val="es-CR"/>
        </w:rPr>
        <w:t>PALABRAS CLAVE: Declaratoria—Procedimiento-Desierta - Licitación Pública Nº 2016LN-000003-APITCR-Servicio-Aseo-Limpieza-Campus Cartago</w:t>
      </w:r>
    </w:p>
    <w:p w:rsidR="005D234B" w:rsidRPr="006F7C62" w:rsidRDefault="005D234B" w:rsidP="005D234B">
      <w:pPr>
        <w:ind w:left="284" w:hanging="284"/>
        <w:rPr>
          <w:rFonts w:ascii="Arial" w:hAnsi="Arial" w:cs="Arial"/>
          <w:i/>
          <w:sz w:val="16"/>
          <w:szCs w:val="16"/>
          <w:lang w:val="es-CR"/>
        </w:rPr>
      </w:pPr>
    </w:p>
    <w:p w:rsidR="005D234B" w:rsidRDefault="005D234B" w:rsidP="00474B22">
      <w:pPr>
        <w:spacing w:line="360" w:lineRule="auto"/>
        <w:jc w:val="both"/>
        <w:outlineLvl w:val="0"/>
        <w:rPr>
          <w:rFonts w:ascii="Arial" w:eastAsia="Cambria" w:hAnsi="Arial" w:cs="Arial"/>
          <w:sz w:val="18"/>
          <w:szCs w:val="18"/>
          <w:lang w:val="es-CR" w:eastAsia="en-US"/>
        </w:rPr>
      </w:pPr>
    </w:p>
    <w:p w:rsidR="005D234B" w:rsidRPr="006B4FBB" w:rsidRDefault="005D234B" w:rsidP="00474B22">
      <w:pPr>
        <w:spacing w:line="360" w:lineRule="auto"/>
        <w:jc w:val="both"/>
        <w:outlineLvl w:val="0"/>
        <w:rPr>
          <w:rFonts w:ascii="Arial" w:eastAsia="Cambria" w:hAnsi="Arial" w:cs="Arial"/>
          <w:sz w:val="18"/>
          <w:szCs w:val="18"/>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6442DF" w:rsidRPr="00474B22" w:rsidRDefault="006D0052" w:rsidP="006442DF">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6442DF" w:rsidRPr="00474B22">
              <w:rPr>
                <w:rFonts w:ascii="Arial" w:eastAsia="Cambria" w:hAnsi="Arial" w:cs="Arial"/>
                <w:b/>
                <w:sz w:val="16"/>
                <w:szCs w:val="16"/>
                <w:lang w:val="es-ES_tradnl" w:eastAsia="en-US"/>
              </w:rPr>
              <w:t xml:space="preserve"> Oficina Asesoría Legal </w:t>
            </w:r>
          </w:p>
          <w:p w:rsidR="006442DF" w:rsidRPr="00474B22" w:rsidRDefault="006442DF" w:rsidP="006442DF">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442DF" w:rsidRPr="00474B22" w:rsidRDefault="006442DF" w:rsidP="006442DF">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442DF" w:rsidRPr="00474B22" w:rsidRDefault="006442DF" w:rsidP="006442DF">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442DF" w:rsidRDefault="006442DF" w:rsidP="006442DF">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DF2F90" w:rsidRPr="00474B22" w:rsidRDefault="00DF2F90" w:rsidP="006442DF">
            <w:pPr>
              <w:rPr>
                <w:rFonts w:ascii="Arial" w:eastAsia="Cambria" w:hAnsi="Arial" w:cs="Arial"/>
                <w:b/>
                <w:sz w:val="16"/>
                <w:szCs w:val="16"/>
                <w:lang w:val="es-CR" w:eastAsia="en-US"/>
              </w:rPr>
            </w:pPr>
            <w:r>
              <w:rPr>
                <w:rFonts w:ascii="Arial" w:eastAsia="Cambria" w:hAnsi="Arial" w:cs="Arial"/>
                <w:b/>
                <w:sz w:val="16"/>
                <w:szCs w:val="16"/>
                <w:lang w:val="es-CR" w:eastAsia="en-US"/>
              </w:rPr>
              <w:t>Lic. Florencio Prendas, Director Servicios Generales</w:t>
            </w:r>
            <w:bookmarkStart w:id="0" w:name="_GoBack"/>
            <w:bookmarkEnd w:id="0"/>
          </w:p>
          <w:p w:rsidR="006D0052" w:rsidRPr="00474B22" w:rsidRDefault="006D0052" w:rsidP="006D0052">
            <w:pPr>
              <w:rPr>
                <w:rFonts w:ascii="Arial" w:eastAsia="Cambria" w:hAnsi="Arial" w:cs="Arial"/>
                <w:b/>
                <w:sz w:val="16"/>
                <w:szCs w:val="16"/>
                <w:lang w:val="es-ES_tradnl" w:eastAsia="en-US"/>
              </w:rPr>
            </w:pPr>
          </w:p>
        </w:tc>
        <w:tc>
          <w:tcPr>
            <w:tcW w:w="4361" w:type="dxa"/>
          </w:tcPr>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08" w:rsidRDefault="008E4708">
      <w:r>
        <w:separator/>
      </w:r>
    </w:p>
  </w:endnote>
  <w:endnote w:type="continuationSeparator" w:id="0">
    <w:p w:rsidR="008E4708" w:rsidRDefault="008E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08" w:rsidRDefault="008E4708">
      <w:r>
        <w:separator/>
      </w:r>
    </w:p>
  </w:footnote>
  <w:footnote w:type="continuationSeparator" w:id="0">
    <w:p w:rsidR="008E4708" w:rsidRDefault="008E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12</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5D234B">
      <w:rPr>
        <w:rFonts w:ascii="Arial" w:eastAsia="Cambria" w:hAnsi="Arial" w:cs="Arial"/>
        <w:i/>
        <w:sz w:val="18"/>
        <w:szCs w:val="18"/>
        <w:lang w:val="es-ES_tradnl" w:eastAsia="x-none"/>
      </w:rPr>
      <w:t>3</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42DF">
      <w:rPr>
        <w:rFonts w:ascii="Arial" w:eastAsia="Cambria" w:hAnsi="Arial" w:cs="Arial"/>
        <w:i/>
        <w:sz w:val="18"/>
        <w:szCs w:val="18"/>
        <w:lang w:val="es-ES_tradnl" w:eastAsia="x-none"/>
      </w:rPr>
      <w:t xml:space="preserve">08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F2F9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3"/>
  </w:num>
  <w:num w:numId="7">
    <w:abstractNumId w:val="1"/>
  </w:num>
  <w:num w:numId="8">
    <w:abstractNumId w:val="22"/>
  </w:num>
  <w:num w:numId="9">
    <w:abstractNumId w:val="21"/>
  </w:num>
  <w:num w:numId="10">
    <w:abstractNumId w:val="12"/>
  </w:num>
  <w:num w:numId="11">
    <w:abstractNumId w:val="18"/>
  </w:num>
  <w:num w:numId="12">
    <w:abstractNumId w:val="4"/>
  </w:num>
  <w:num w:numId="13">
    <w:abstractNumId w:val="14"/>
  </w:num>
  <w:num w:numId="14">
    <w:abstractNumId w:val="13"/>
  </w:num>
  <w:num w:numId="15">
    <w:abstractNumId w:val="16"/>
  </w:num>
  <w:num w:numId="16">
    <w:abstractNumId w:val="17"/>
  </w:num>
  <w:num w:numId="17">
    <w:abstractNumId w:val="2"/>
  </w:num>
  <w:num w:numId="18">
    <w:abstractNumId w:val="6"/>
  </w:num>
  <w:num w:numId="19">
    <w:abstractNumId w:val="10"/>
  </w:num>
  <w:num w:numId="20">
    <w:abstractNumId w:val="9"/>
  </w:num>
  <w:num w:numId="21">
    <w:abstractNumId w:val="8"/>
  </w:num>
  <w:num w:numId="22">
    <w:abstractNumId w:val="15"/>
  </w:num>
  <w:num w:numId="23">
    <w:abstractNumId w:val="7"/>
  </w:num>
  <w:num w:numId="24">
    <w:abstractNumId w:val="24"/>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754F-0DD4-4F56-B957-0D831B38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1316</Words>
  <Characters>7243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47</cp:revision>
  <cp:lastPrinted>2016-11-23T19:32:00Z</cp:lastPrinted>
  <dcterms:created xsi:type="dcterms:W3CDTF">2016-10-05T20:00:00Z</dcterms:created>
  <dcterms:modified xsi:type="dcterms:W3CDTF">2017-03-09T14:12:00Z</dcterms:modified>
</cp:coreProperties>
</file>