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SCI-705-2014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Silma Elisa Bolaños, Jefa de Área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Comisión Permanente Especial de Ciencia Tecnología y Educación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Asamblea Legislativa </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17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2885, Artículo 10, del 17 de setiembre de 2014. </w:t>
            </w:r>
            <w:r w:rsidDel="00000000" w:rsidR="00000000" w:rsidRPr="00000000">
              <w:rPr>
                <w:rFonts w:ascii="Arial" w:cs="Arial" w:eastAsia="Arial" w:hAnsi="Arial"/>
                <w:b w:val="1"/>
                <w:sz w:val="24"/>
                <w:szCs w:val="24"/>
                <w:rtl w:val="0"/>
              </w:rPr>
              <w:t xml:space="preserve">Pronunciamiento del Consejo Institucional sobre el Proyecto de “Ley de desarrollo de obra pública corredor vial San José-San Ramón, mediante fideicomiso”, Expediente No.  18.887</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88 de la Constitución Política de la República de Costa Rica prescribe: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080" w:right="689" w:firstLine="0"/>
        <w:contextualSpacing w:val="0"/>
        <w:jc w:val="both"/>
      </w:pPr>
      <w:r w:rsidDel="00000000" w:rsidR="00000000" w:rsidRPr="00000000">
        <w:rPr>
          <w:rFonts w:ascii="Arial" w:cs="Arial" w:eastAsia="Arial" w:hAnsi="Arial"/>
          <w:i w:val="1"/>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recibe oficio ECO-191-2014, con fecha de recibido 4 de junio de 2014, mediante correo electrónico, suscrito por la Licda.  Silma Elisa Bolaños Cerdas, Jefa de Área de la Asamblea Legislativa, dirigido al Dr.  Julio Calvo, Rector, en el cual solicita criterio sobre el Proyecto de Ley de desarrollo de obra pública corredor vial San José-San Ramón, mediante fideicomiso”, Expediente No.  18.887.</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Proyecto precitado fue conocido por el Consejo Institucional en la Sesión No.  2872, del 11 de junio de 2014, y se dispone remitirlo en consulta a la Escuela de Administración de Empresas y a la Escuela de Ingeniería en Construcción.</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Lista de oficios anexos: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1</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ECO-191-2014, del 4 de junio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al Instituto Tecnológico de Costa Rica sobre el texto del Proyecto de “Ley de desarrollo de obra pública corredor vial San José-San Ramón, mediante fideicomiso”, Expediente No.  18.887</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2</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3"/>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SCI-405-2014, del 11 de junio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Administración de Empresas sobre el pronunciamiento del Proyecto de “Ley de desarrollo de obra pública corredor vial San José-San Ramón, mediante fideicomiso”, Expediente No.  18.887.</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3</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4"/>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SCI-406-2014, del 11 de junio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Ingeniería en Construcción sobre el pronunciamiento del Proyecto de “Ley de desarrollo de obra pública corredor vial San José-San Ramón, mediante fideicomiso”, Expediente No.  18.887.</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4</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5"/>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SCI-496-2014, del 22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Recordatorio a la Escuela de Administración de Empresas de la solicitud de criterio sobre el Proyecto de “Ley de desarrollo de obra pública corredor vial San José-San Ramón, mediante fideicomiso”, Expediente No.  18.887.</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5</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6"/>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SCI-497-2014, del 22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Recordatorio a la Escuela de Ingeniería en Construcción de la solicitud de criterio sobre el Proyecto de “Ley de desarrollo de obra pública corredor vial San José-San Ramón, mediante fideicomiso”, Expediente No.  18.887.</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6</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7"/>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1"/>
        <w:gridCol w:w="6530"/>
        <w:tblGridChange w:id="0">
          <w:tblGrid>
            <w:gridCol w:w="1781"/>
            <w:gridCol w:w="653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CO-331-2014, del 04 de setiembre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Ingeniería en Construcción sobre el Proyecto de “Ley de desarrollo de obra pública corredor vial San José-San Ramón, mediante fideicomiso”, Expediente No.  18.887, y que dice entre otras consideraciones lo siguiente: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Es de interés del ITCR establecer el alcance de esta participación, que probablemente sería a través de la Escuela de Ingeniería en Construcción, con el fin de determinar si la misma implica inversión en recursos materiales y humanos, pues, a diferencia del Lanamme, el ITCR no cuenta con presupuesto del Estado para esas actividades. Incluso el aporte que como universidad podemos dar se podría extender a aspectos como control de calidad durante el proceso de construcción, entre otros.</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7</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8"/>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1"/>
        <w:gridCol w:w="6530"/>
        <w:tblGridChange w:id="0">
          <w:tblGrid>
            <w:gridCol w:w="1781"/>
            <w:gridCol w:w="653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AE-648-2014, del 10 de setiembre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Administración de Empresas sobre el Proyecto de “Ley de desarrollo de obra pública corredor vial San José-San Ramón, mediante fideicomiso”, Expediente No.  18.887, y que dice, entre otras consideraciones lo siguiente: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Las obras públicas con modelos eficientes de administración de los procesos de planeamiento, diseño, ejecución, mantenimiento y administración del proceso de recolección, resultan  altamente rentables y garantizan el retorno de los dineros para amortizar el fondo y generar un fondo revolutivo para desarrollar nuevas obras prioritarias para el país.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participación de las universidades me parece clave para llevar a cabo un proceso de fiscalización que garantice, en la fase de planeamiento y diseño, la obtención la mejor solución técnica del proyecto.</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ind w:left="426" w:right="-91" w:hanging="426"/>
        <w:jc w:val="both"/>
        <w:rPr>
          <w:rFonts w:ascii="Arial" w:cs="Arial" w:eastAsia="Arial" w:hAnsi="Arial"/>
        </w:rPr>
      </w:pPr>
      <w:r w:rsidDel="00000000" w:rsidR="00000000" w:rsidRPr="00000000">
        <w:rPr>
          <w:rFonts w:ascii="Arial" w:cs="Arial" w:eastAsia="Arial" w:hAnsi="Arial"/>
          <w:sz w:val="24"/>
          <w:szCs w:val="24"/>
          <w:rtl w:val="0"/>
        </w:rPr>
        <w:t xml:space="preserve">Pronunciarse a favor del Proyecto de “Ley de desarrollo de obra pública corredor vial San José-San Ramón, mediante fideicomiso”, Expediente No.  18.887.</w:t>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3"/>
        </w:numPr>
        <w:ind w:left="426" w:right="-91" w:hanging="426"/>
        <w:jc w:val="both"/>
        <w:rPr>
          <w:rFonts w:ascii="Arial" w:cs="Arial" w:eastAsia="Arial" w:hAnsi="Arial"/>
        </w:rPr>
      </w:pPr>
      <w:r w:rsidDel="00000000" w:rsidR="00000000" w:rsidRPr="00000000">
        <w:rPr>
          <w:rFonts w:ascii="Arial" w:cs="Arial" w:eastAsia="Arial" w:hAnsi="Arial"/>
          <w:sz w:val="24"/>
          <w:szCs w:val="24"/>
          <w:rtl w:val="0"/>
        </w:rPr>
        <w:t xml:space="preserve">Exhortar a la Comisión Permanente de Asuntos Económicos de la Asamblea Legislativa, tomar en consideración las recomendaciones emitidas por la Escuela de Construcción del ITCR.</w:t>
      </w:r>
    </w:p>
    <w:p w:rsidR="00000000" w:rsidDel="00000000" w:rsidP="00000000" w:rsidRDefault="00000000" w:rsidRPr="00000000">
      <w:pPr>
        <w:ind w:right="-91"/>
        <w:contextualSpacing w:val="0"/>
        <w:jc w:val="both"/>
      </w:pPr>
      <w:bookmarkStart w:colFirst="0" w:colLast="0" w:name="_30j0zll" w:id="1"/>
      <w:bookmarkEnd w:id="1"/>
      <w:r w:rsidDel="00000000" w:rsidR="00000000" w:rsidRPr="00000000">
        <w:rPr>
          <w:rtl w:val="0"/>
        </w:rPr>
      </w:r>
    </w:p>
    <w:p w:rsidR="00000000" w:rsidDel="00000000" w:rsidP="00000000" w:rsidRDefault="00000000" w:rsidRPr="00000000">
      <w:pPr>
        <w:numPr>
          <w:ilvl w:val="0"/>
          <w:numId w:val="3"/>
        </w:numPr>
        <w:ind w:left="426" w:right="-91" w:hanging="426"/>
        <w:jc w:val="both"/>
        <w:rPr>
          <w:rFonts w:ascii="Arial" w:cs="Arial" w:eastAsia="Arial" w:hAnsi="Arial"/>
          <w:color w:val="7030a0"/>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16"/>
          <w:szCs w:val="16"/>
          <w:rtl w:val="0"/>
        </w:rPr>
        <w:t xml:space="preserve">PALABRAS CLAVE:  Proyecto Ley –corredor vial–San José-San Ramón-fideicomiso</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18"/>
          <w:szCs w:val="18"/>
          <w:rtl w:val="0"/>
        </w:rPr>
        <w:t xml:space="preserve">BSS/apmc</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9"/>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MAE. Alejandro Masís,  Director</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Escuela  de Administración de Empresas</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Ing. Hugo Navarro Serrano,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Escuela de Ingeniería en Construcción</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San José, </w:t>
      </w:r>
      <w:r w:rsidDel="00000000" w:rsidR="00000000" w:rsidRPr="00000000">
        <w:rPr>
          <w:rFonts w:ascii="Arial" w:cs="Arial" w:eastAsia="Arial" w:hAnsi="Arial"/>
          <w:b w:val="1"/>
          <w:color w:val="000000"/>
          <w:sz w:val="24"/>
          <w:szCs w:val="24"/>
          <w:rtl w:val="0"/>
        </w:rPr>
        <w:t xml:space="preserve">04</w:t>
      </w:r>
      <w:r w:rsidDel="00000000" w:rsidR="00000000" w:rsidRPr="00000000">
        <w:rPr>
          <w:rFonts w:ascii="Arial" w:cs="Arial" w:eastAsia="Arial" w:hAnsi="Arial"/>
          <w:b w:val="1"/>
          <w:sz w:val="24"/>
          <w:szCs w:val="24"/>
          <w:rtl w:val="0"/>
        </w:rPr>
        <w:t xml:space="preserve"> de</w:t>
      </w:r>
      <w:r w:rsidDel="00000000" w:rsidR="00000000" w:rsidRPr="00000000">
        <w:rPr>
          <w:rFonts w:ascii="Arial" w:cs="Arial" w:eastAsia="Arial" w:hAnsi="Arial"/>
          <w:b w:val="1"/>
          <w:color w:val="000000"/>
          <w:sz w:val="24"/>
          <w:szCs w:val="24"/>
          <w:rtl w:val="0"/>
        </w:rPr>
        <w:t xml:space="preserve"> junio 2014</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ECO-</w:t>
      </w:r>
      <w:r w:rsidDel="00000000" w:rsidR="00000000" w:rsidRPr="00000000">
        <w:rPr>
          <w:rFonts w:ascii="Arial" w:cs="Arial" w:eastAsia="Arial" w:hAnsi="Arial"/>
          <w:b w:val="1"/>
          <w:color w:val="000000"/>
          <w:sz w:val="24"/>
          <w:szCs w:val="24"/>
          <w:rtl w:val="0"/>
        </w:rPr>
        <w:t xml:space="preserve">191</w:t>
      </w:r>
      <w:r w:rsidDel="00000000" w:rsidR="00000000" w:rsidRPr="00000000">
        <w:rPr>
          <w:rFonts w:ascii="Arial" w:cs="Arial" w:eastAsia="Arial" w:hAnsi="Arial"/>
          <w:b w:val="1"/>
          <w:sz w:val="24"/>
          <w:szCs w:val="24"/>
          <w:rtl w:val="0"/>
        </w:rPr>
        <w:t xml:space="preserve">-201</w:t>
      </w:r>
      <w:r w:rsidDel="00000000" w:rsidR="00000000" w:rsidRPr="00000000">
        <w:rPr>
          <w:rFonts w:ascii="Arial" w:cs="Arial" w:eastAsia="Arial" w:hAnsi="Arial"/>
          <w:b w:val="1"/>
          <w:color w:val="000000"/>
          <w:sz w:val="24"/>
          <w:szCs w:val="24"/>
          <w:rtl w:val="0"/>
        </w:rPr>
        <w:t xml:space="preserve">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Señor</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Julio César Calvo Alvarado</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Rector</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Instituto Tecnológico de Costa Rica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Estimad</w:t>
      </w:r>
      <w:r w:rsidDel="00000000" w:rsidR="00000000" w:rsidRPr="00000000">
        <w:rPr>
          <w:rFonts w:ascii="Arial" w:cs="Arial" w:eastAsia="Arial" w:hAnsi="Arial"/>
          <w:b w:val="1"/>
          <w:color w:val="000000"/>
          <w:sz w:val="24"/>
          <w:szCs w:val="24"/>
          <w:rtl w:val="0"/>
        </w:rPr>
        <w:t xml:space="preserve">o</w:t>
      </w:r>
      <w:r w:rsidDel="00000000" w:rsidR="00000000" w:rsidRPr="00000000">
        <w:rPr>
          <w:rFonts w:ascii="Arial" w:cs="Arial" w:eastAsia="Arial" w:hAnsi="Arial"/>
          <w:b w:val="1"/>
          <w:sz w:val="24"/>
          <w:szCs w:val="24"/>
          <w:rtl w:val="0"/>
        </w:rPr>
        <w:t xml:space="preserve"> señor: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Comisión Permanente Asuntos Económicos que tiene en estudio el proyecto de ley: </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color w:val="000000"/>
          <w:sz w:val="24"/>
          <w:szCs w:val="24"/>
          <w:rtl w:val="0"/>
        </w:rPr>
        <w:t xml:space="preserve">LEY DE DESARROLLO DE OBRA PÚBLICA CORREDOR VIAL SAN JOSÉ SAN RAMÓN MEDIANTE FIDEICOMISO</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expediente legislativo Nº 1</w:t>
      </w:r>
      <w:r w:rsidDel="00000000" w:rsidR="00000000" w:rsidRPr="00000000">
        <w:rPr>
          <w:rFonts w:ascii="Arial" w:cs="Arial" w:eastAsia="Arial" w:hAnsi="Arial"/>
          <w:color w:val="000000"/>
          <w:sz w:val="24"/>
          <w:szCs w:val="24"/>
          <w:rtl w:val="0"/>
        </w:rPr>
        <w:t xml:space="preserve">8.887</w:t>
      </w:r>
      <w:r w:rsidDel="00000000" w:rsidR="00000000" w:rsidRPr="00000000">
        <w:rPr>
          <w:rFonts w:ascii="Arial" w:cs="Arial" w:eastAsia="Arial" w:hAnsi="Arial"/>
          <w:sz w:val="24"/>
          <w:szCs w:val="24"/>
          <w:rtl w:val="0"/>
        </w:rPr>
        <w:t xml:space="preserve"> en sesión Nº </w:t>
      </w:r>
      <w:r w:rsidDel="00000000" w:rsidR="00000000" w:rsidRPr="00000000">
        <w:rPr>
          <w:rFonts w:ascii="Arial" w:cs="Arial" w:eastAsia="Arial" w:hAnsi="Arial"/>
          <w:color w:val="000000"/>
          <w:sz w:val="24"/>
          <w:szCs w:val="24"/>
          <w:rtl w:val="0"/>
        </w:rPr>
        <w:t xml:space="preserve">03</w:t>
      </w:r>
      <w:r w:rsidDel="00000000" w:rsidR="00000000" w:rsidRPr="00000000">
        <w:rPr>
          <w:rFonts w:ascii="Arial" w:cs="Arial" w:eastAsia="Arial" w:hAnsi="Arial"/>
          <w:sz w:val="24"/>
          <w:szCs w:val="24"/>
          <w:rtl w:val="0"/>
        </w:rPr>
        <w:t xml:space="preserve"> de este órgano, aprobó la siguiente moción:</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“Para que de conformidad con el Reglamento de la Asamblea Legislativa, este proyecto de ley sea consultado a las siguientes entidades: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Ministerio de Obras Públicas y Transportes, MOPT</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Consejo Nacional de Vialidad, CONAVI</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Ministerio de Planificación Nacional, MIDEPLAN</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Contraloría General de la República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Procuraduría General de la República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Defensoría de los Habitantes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Bancos del Sistema Bancario Nacional</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Consejo Nacional de Supervisión del Sistema Financiero, CONASSIF</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Superintendencia General de Seguros, SUGESE</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Superintendencia General de Pensiones, SUPEN</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Instituto Nacional de Seguros, INS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Operadoras de Pensiones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Municipalidades de la provincia de Alajuela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Federación Occidental de Municipalidades de Alajuela, FEDOMA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Instituto Tecnológico de Costa Rica </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Universidad de Costa Rica (Laboratorio Nacional de Materiales y Modelos Estructurales, LANAMME)</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Colegio Federado de Ingenieros y de Arquitectos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Colegio de Profesionales en Ciencias Económicas de Costa Rica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Instituto Costarricense de Electricidad, ICE</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Cámara Costarricense de la Construcción”.</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4"/>
          <w:szCs w:val="24"/>
          <w:rtl w:val="0"/>
        </w:rPr>
        <w:t xml:space="preserve">Con el propósito de conocer su estimable criterio, se adjunta el texto en mención.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 conformidad con el artículo 157 del Reglamento de la Asamblea Legislativa, me permito informarle que,  a partir del recibo de este oficio, esta normativa concede a la persona o ente consultado,</w:t>
      </w:r>
      <w:r w:rsidDel="00000000" w:rsidR="00000000" w:rsidRPr="00000000">
        <w:rPr>
          <w:rFonts w:ascii="Arial" w:cs="Arial" w:eastAsia="Arial" w:hAnsi="Arial"/>
          <w:b w:val="1"/>
          <w:sz w:val="24"/>
          <w:szCs w:val="24"/>
          <w:rtl w:val="0"/>
        </w:rPr>
        <w:t xml:space="preserve"> ocho días hábiles </w:t>
      </w:r>
      <w:r w:rsidDel="00000000" w:rsidR="00000000" w:rsidRPr="00000000">
        <w:rPr>
          <w:rFonts w:ascii="Arial" w:cs="Arial" w:eastAsia="Arial" w:hAnsi="Arial"/>
          <w:sz w:val="24"/>
          <w:szCs w:val="24"/>
          <w:rtl w:val="0"/>
        </w:rPr>
        <w:t xml:space="preserve">para remitir su respuesta, de no ser así, se asumirá su total conformidad.</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Cualquier información que pueda requerir sobre el particular,  se le podrá brindar en la Secretaría de la Comisión en los teléfonos 2243-2422, 2243-2423.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Así mismo, a su disposición  se encuentra el correo electrónico  </w:t>
      </w:r>
      <w:hyperlink r:id="rId5">
        <w:r w:rsidDel="00000000" w:rsidR="00000000" w:rsidRPr="00000000">
          <w:rPr>
            <w:rFonts w:ascii="Arial" w:cs="Arial" w:eastAsia="Arial" w:hAnsi="Arial"/>
            <w:color w:val="0000ff"/>
            <w:sz w:val="24"/>
            <w:szCs w:val="24"/>
            <w:u w:val="single"/>
            <w:rtl w:val="0"/>
          </w:rPr>
          <w:t xml:space="preserve">comision-economicos@asamblea.go.cr</w:t>
        </w:r>
      </w:hyperlink>
      <w:r w:rsidDel="00000000" w:rsidR="00000000" w:rsidRPr="00000000">
        <w:rPr>
          <w:rFonts w:ascii="Arial" w:cs="Arial" w:eastAsia="Arial" w:hAnsi="Arial"/>
          <w:color w:val="1f497d"/>
          <w:sz w:val="24"/>
          <w:szCs w:val="24"/>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anchor allowOverlap="1" behindDoc="0" distB="0" distT="0" distL="114300" distR="114300" hidden="0" layoutInCell="0" locked="0" relativeHeight="0" simplePos="0">
            <wp:simplePos x="0" y="0"/>
            <wp:positionH relativeFrom="margin">
              <wp:posOffset>2743200</wp:posOffset>
            </wp:positionH>
            <wp:positionV relativeFrom="paragraph">
              <wp:posOffset>142875</wp:posOffset>
            </wp:positionV>
            <wp:extent cx="1012825" cy="923925"/>
            <wp:effectExtent b="0" l="0" r="0" t="0"/>
            <wp:wrapSquare wrapText="bothSides" distB="0" distT="0" distL="114300" distR="114300"/>
            <wp:docPr descr="cid:image002.png@01CA316F.7AD87F20" id="2" name="image04.png"/>
            <a:graphic>
              <a:graphicData uri="http://schemas.openxmlformats.org/drawingml/2006/picture">
                <pic:pic>
                  <pic:nvPicPr>
                    <pic:cNvPr descr="cid:image002.png@01CA316F.7AD87F20" id="0" name="image04.png"/>
                    <pic:cNvPicPr preferRelativeResize="0"/>
                  </pic:nvPicPr>
                  <pic:blipFill>
                    <a:blip r:embed="rId6"/>
                    <a:srcRect b="0" l="0" r="0" t="0"/>
                    <a:stretch>
                      <a:fillRect/>
                    </a:stretch>
                  </pic:blipFill>
                  <pic:spPr>
                    <a:xfrm>
                      <a:off x="0" y="0"/>
                      <a:ext cx="1012825" cy="9239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De usted atentamente,</w:t>
      </w:r>
    </w:p>
    <w:p w:rsidR="00000000" w:rsidDel="00000000" w:rsidP="00000000" w:rsidRDefault="00000000" w:rsidRPr="00000000">
      <w:pPr>
        <w:contextualSpacing w:val="0"/>
      </w:pPr>
      <w:r w:rsidDel="00000000" w:rsidR="00000000" w:rsidRPr="00000000">
        <w:rPr>
          <w:rFonts w:ascii="Book Antiqua" w:cs="Book Antiqua" w:eastAsia="Book Antiqua" w:hAnsi="Book Antiqua"/>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Book Antiqua" w:cs="Book Antiqua" w:eastAsia="Book Antiqua" w:hAnsi="Book Antiqua"/>
          <w:rtl w:val="0"/>
        </w:rPr>
        <w:t xml:space="preserv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47625</wp:posOffset>
            </wp:positionV>
            <wp:extent cx="2752725" cy="266700"/>
            <wp:effectExtent b="0" l="0" r="0" t="0"/>
            <wp:wrapSquare wrapText="bothSides" distB="0" distT="0" distL="114300" distR="114300"/>
            <wp:docPr descr="cid:image001.png@01CA316F.7AD87F20" id="3" name="image05.jpg"/>
            <a:graphic>
              <a:graphicData uri="http://schemas.openxmlformats.org/drawingml/2006/picture">
                <pic:pic>
                  <pic:nvPicPr>
                    <pic:cNvPr descr="cid:image001.png@01CA316F.7AD87F20" id="0" name="image05.jpg"/>
                    <pic:cNvPicPr preferRelativeResize="0"/>
                  </pic:nvPicPr>
                  <pic:blipFill>
                    <a:blip r:embed="rId7"/>
                    <a:srcRect b="0" l="0" r="0" t="0"/>
                    <a:stretch>
                      <a:fillRect/>
                    </a:stretch>
                  </pic:blipFill>
                  <pic:spPr>
                    <a:xfrm>
                      <a:off x="0" y="0"/>
                      <a:ext cx="2752725" cy="2667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Licda. Silma Elisa Bolaños Cerdas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Jefa de Área</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1f497d"/>
          <w:sz w:val="16"/>
          <w:szCs w:val="16"/>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1f497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rtl w:val="0"/>
        </w:rPr>
        <w:t xml:space="preserve">C./Exp. 18.887</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SCI-405-2014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0"/>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MAE. Alejandro Masís,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Administración de Empresas</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11 de junio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2872 del Consejo Institucional, celebrada el día 11 de junio del 2014, se conoce el Proyecto de “Ley de Desarrollo de obra pública corredor vial San José San Ramón mediante fideicomiso”, Expediente Legislativo No. 18.887;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25 de junio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Z:\Documentos_SCI-405-14\Proyectos de Ley No. 18.887</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SCI-406-2014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1"/>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Hugo Navarro Serrano,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Ingeniería en Construcción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11 de junio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2872 del Consejo Institucional, celebrada el día 11 de junio del 2014, se conoce el Proyecto de “Ley de Desarrollo de obra pública corredor vial San José San Ramón mediante fideicomiso”, Expediente Legislativo No. 18.887;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25 de junio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Z:\Documentos_SCI-406-14\Proyectos de Ley No. 18.887</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4</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SCI-496-2014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2"/>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MAE. Alejandro Masís,  Director</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Escuela  de Administración de Empresas</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22 de julio del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Recordatorio Solicitud de criterio sobre el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Sesión Ordinaria No.  2872 del Consejo Institucional, celebrada el día 11 de junio del 2014, se conoce la propuesta del Proyecto de “Ley de Desarrollo de obra pública corredor vial San José San Ramón mediante fideicomiso”, Expediente Legislativo No. 18.887 y se dispuso solicitar el criterio a esa Escuela, por ser un tema de su competencia.  Dicha solicitud fue enviada a esa Escuela según oficio SCI-405-2014, el 11 de junio del 2014, y en digital a la secretaria de la Escuela; a la fecha no se ha recibido el criterio, mismo que venció el 25 de junio del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 forma respetuosa, se le recuerda que se está a la espera del criterio de esa Escuela para dar respuesta a la Asamblea Legislativa lo antes posible, debido a que el plazo reglamentario ya caducó.</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      Archivo</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Ref: Z:\Documentos_SCI-496-14/Recordatorio proyectos de Ley\notas de proyectos de Ley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5</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SCI-497-2014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3"/>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Hugo Navarro Serrano, Director</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Escuela de Ingeniería en Construcción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22 de julio del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Recordatorio Solicitud de criterio sobre el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Sesión Ordinaria No.  2872 del Consejo Institucional, celebrada el día 11 de junio del 2014, se conoce la propuesta del Proyecto de “Ley de Desarrollo de obra pública corredor vial San José San Ramón mediante fideicomiso”, Expediente Legislativo No. 18.887 y se dispuso solicitar el criterio a esa Escuela, por ser un tema de su competencia.  Dicha solicitud fue enviada a esa Escuela según oficio SCI-406-2014, el 11 de junio del 2014,  y enviada en digital a la secretaria de la Escuela; a la fecha no se ha recibido el criterio, mismo que venció el 25 de junio del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Dado que a la fecha no se ha recibido respuesta, se le recuerda que se está a la espera del criterio de esa Escuela para dar respuesta a la Asamblea Legislativa lo antes posible, debido a que el plazo reglamentario ya caducó.</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      Archivo</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Ref: Z:\Documentos_SCI-497-14/Recordatorio proyectos de Ley\notas de proyectos de Ley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6</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CO - 331-2014</w:t>
      </w:r>
    </w:p>
    <w:p w:rsidR="00000000" w:rsidDel="00000000" w:rsidP="00000000" w:rsidRDefault="00000000" w:rsidRPr="00000000">
      <w:pPr>
        <w:contextualSpacing w:val="0"/>
      </w:pPr>
      <w:r w:rsidDel="00000000" w:rsidR="00000000" w:rsidRPr="00000000">
        <w:rPr>
          <w:rFonts w:ascii="Arial-BoldMT" w:cs="Arial-BoldMT" w:eastAsia="Arial-BoldMT" w:hAnsi="Arial-BoldMT"/>
          <w:b w:val="1"/>
          <w:sz w:val="48"/>
          <w:szCs w:val="48"/>
          <w:rtl w:val="0"/>
        </w:rPr>
        <w:t xml:space="preserve">Memorando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Para</w:t>
      </w:r>
      <w:r w:rsidDel="00000000" w:rsidR="00000000" w:rsidRPr="00000000">
        <w:rPr>
          <w:rFonts w:ascii="Arial" w:cs="Arial" w:eastAsia="Arial" w:hAnsi="Arial"/>
          <w:b w:val="1"/>
          <w:sz w:val="18"/>
          <w:szCs w:val="18"/>
          <w:rtl w:val="0"/>
        </w:rPr>
        <w:t xml:space="preserve">:</w:t>
        <w:tab/>
      </w:r>
      <w:r w:rsidDel="00000000" w:rsidR="00000000" w:rsidRPr="00000000">
        <w:rPr>
          <w:rFonts w:ascii="Arial" w:cs="Arial" w:eastAsia="Arial" w:hAnsi="Arial"/>
          <w:b w:val="1"/>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Secretaría del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ab/>
      </w:r>
      <w:r w:rsidDel="00000000" w:rsidR="00000000" w:rsidRPr="00000000">
        <w:rPr>
          <w:rFonts w:ascii="Arial" w:cs="Arial" w:eastAsia="Arial" w:hAnsi="Arial"/>
          <w:b w:val="1"/>
          <w:rtl w:val="0"/>
        </w:rPr>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De:</w:t>
        <w:tab/>
      </w:r>
      <w:r w:rsidDel="00000000" w:rsidR="00000000" w:rsidRPr="00000000">
        <w:rPr>
          <w:rFonts w:ascii="Arial" w:cs="Arial" w:eastAsia="Arial" w:hAnsi="Arial"/>
          <w:b w:val="1"/>
          <w:rtl w:val="0"/>
        </w:rPr>
        <w:t xml:space="preserve">Ing. Hugo Navarro Serrano. M.Sc, Director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Escuela de Ingeniería en Construcción</w:t>
      </w:r>
    </w:p>
    <w:p w:rsidR="00000000" w:rsidDel="00000000" w:rsidP="00000000" w:rsidRDefault="00000000" w:rsidRPr="00000000">
      <w:pPr>
        <w:contextualSpacing w:val="0"/>
      </w:pPr>
      <w:r w:rsidDel="00000000" w:rsidR="00000000" w:rsidRPr="00000000">
        <w:rPr>
          <w:rFonts w:ascii="Arial" w:cs="Arial" w:eastAsia="Arial" w:hAnsi="Arial"/>
          <w:b w:val="1"/>
          <w:rtl w:val="0"/>
        </w:rPr>
        <w:tab/>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Fecha:</w:t>
        <w:tab/>
      </w:r>
      <w:r w:rsidDel="00000000" w:rsidR="00000000" w:rsidRPr="00000000">
        <w:rPr>
          <w:rFonts w:ascii="Arial" w:cs="Arial" w:eastAsia="Arial" w:hAnsi="Arial"/>
          <w:b w:val="1"/>
          <w:rtl w:val="0"/>
        </w:rPr>
        <w:t xml:space="preserve">04 de setiembre del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Asunto: </w:t>
      </w:r>
      <w:r w:rsidDel="00000000" w:rsidR="00000000" w:rsidRPr="00000000">
        <w:rPr>
          <w:rFonts w:ascii="Arial" w:cs="Arial" w:eastAsia="Arial" w:hAnsi="Arial"/>
          <w:b w:val="1"/>
          <w:rtl w:val="0"/>
        </w:rPr>
        <w:t xml:space="preserve">Respuesta Oficio SCI-406-2014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respuesta al Oficio SCI-406-2014 en el que solicitan el criterio a nuestra escuela sobre el Proyecto de Ley “Ley de desarrollo de obra pública corredor vial San José San Ramón mediante fideicomiso”, Expediente Legislativo No 18.887, nos permitimos indicar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 la revisión de esta solicitud se convocó a una sesión trabajo del Consejo Asesor de la Escuela. Basados en la documentación aportada que incluye el borrador de la propuesta, nos permitimos externar las siguientes observaciones: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La revisión de la propuesta se centralizó en aspectos técnicos en los que nuestra escuela tiene competencia, no así en aspectos legales o financieros.</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En general consideramos que la figura de fideicomiso de la manera en que se plantea en la propuesta es una excelente alternativa de financiamiento para esta obra y otras obras de infraestructura que requiere con urgencia el país. Uno de los elementos más importantes en esta figura es la participación de varios actores, todos ellos con competencia para apoyar de acuerdo con su especialidad, el desarrollo de un proyecto de esta magnitud.</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En el Artículo 6, inciso d) de la propuesta se indica textualmente que se contará con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1"/>
          <w:rtl w:val="0"/>
        </w:rPr>
        <w:t xml:space="preserve">d) Una unidad de apoyo, que estará constituida por miembros designados por las siguientes instituciones: el Laboratorio Nacional de Materiales y Modelos Estructurales (Lanamme); el Colegio Federado de Ingenieros y de Arquitectos; el Instituto Tecnológico de Costa Rica y el Colegio de Profesionales en Ciencias Económicas de Costa Rica.  Esta unidad proveerá de criterios técnico profesionales, que garanticen la calidad final de la obra y su aptitud para responder a la necesidad nacional y al interés público.</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rtl w:val="0"/>
        </w:rPr>
        <w:t xml:space="preserve">Es de interés del ITCR establecer el alcance de esta participación, que probablemente sería a través de la Escuela de Ingeniería en Construcción, con el fin de determinar si la misma implica inversión en recursos materiales y humanos, pues, a diferencia del Lanamme, el ITCR no cuenta con presupuesto del Estado para esas actividades. Incluso el aporte que como universidad podemos dar se podría extender a aspectos como control de calidad durante el proceso de construcción, entre otros.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rtl w:val="0"/>
        </w:rPr>
        <w:t xml:space="preserve">Agradeciendo la atención.</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7</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Fonts w:ascii="Arial" w:cs="Arial" w:eastAsia="Arial" w:hAnsi="Arial"/>
          <w:rtl w:val="0"/>
        </w:rPr>
        <w:t xml:space="preserve">AE-648-2014</w:t>
      </w: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Fonts w:ascii="Arial" w:cs="Arial" w:eastAsia="Arial" w:hAnsi="Arial"/>
          <w:sz w:val="48"/>
          <w:szCs w:val="48"/>
          <w:rtl w:val="0"/>
        </w:rPr>
        <w:t xml:space="preserve">Memorando</w:t>
      </w: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sz w:val="22"/>
          <w:szCs w:val="22"/>
          <w:rtl w:val="0"/>
        </w:rPr>
        <w:t xml:space="preserve">PARA:</w:t>
        <w:tab/>
        <w:tab/>
      </w:r>
      <w:r w:rsidDel="00000000" w:rsidR="00000000" w:rsidRPr="00000000">
        <w:rPr>
          <w:rFonts w:ascii="Tahoma" w:cs="Tahoma" w:eastAsia="Tahoma" w:hAnsi="Tahoma"/>
          <w:b w:val="1"/>
          <w:sz w:val="22"/>
          <w:szCs w:val="22"/>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ab/>
        <w:tab/>
        <w:t xml:space="preserve">Consejo Institucional </w:t>
      </w:r>
    </w:p>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ab/>
        <w:tab/>
        <w:t xml:space="preserve">Tecnológico de Costa Rica</w:t>
      </w:r>
      <w:r w:rsidDel="00000000" w:rsidR="00000000" w:rsidRPr="00000000">
        <w:rPr>
          <w:rtl w:val="0"/>
        </w:rPr>
      </w:r>
    </w:p>
    <w:p w:rsidR="00000000" w:rsidDel="00000000" w:rsidP="00000000" w:rsidRDefault="00000000" w:rsidRPr="00000000">
      <w:pPr>
        <w:ind w:left="2268" w:firstLine="0"/>
        <w:contextualSpacing w:val="0"/>
      </w:pPr>
      <w:r w:rsidDel="00000000" w:rsidR="00000000" w:rsidRPr="00000000">
        <w:rPr>
          <w:rFonts w:ascii="Tahoma" w:cs="Tahoma" w:eastAsia="Tahoma" w:hAnsi="Tahoma"/>
          <w:sz w:val="22"/>
          <w:szCs w:val="22"/>
          <w:rtl w:val="0"/>
        </w:rPr>
        <w:tab/>
        <w:tab/>
        <w:tab/>
        <w:t xml:space="preserve">      </w:t>
      </w:r>
    </w:p>
    <w:p w:rsidR="00000000" w:rsidDel="00000000" w:rsidP="00000000" w:rsidRDefault="00000000" w:rsidRPr="00000000">
      <w:pPr>
        <w:contextualSpacing w:val="0"/>
      </w:pPr>
      <w:r w:rsidDel="00000000" w:rsidR="00000000" w:rsidRPr="00000000">
        <w:rPr>
          <w:rFonts w:ascii="Tahoma" w:cs="Tahoma" w:eastAsia="Tahoma" w:hAnsi="Tahoma"/>
          <w:sz w:val="22"/>
          <w:szCs w:val="22"/>
          <w:rtl w:val="0"/>
        </w:rPr>
        <w:t xml:space="preserve">DE:</w:t>
        <w:tab/>
        <w:tab/>
      </w:r>
      <w:r w:rsidDel="00000000" w:rsidR="00000000" w:rsidRPr="00000000">
        <w:rPr>
          <w:rFonts w:ascii="Tahoma" w:cs="Tahoma" w:eastAsia="Tahoma" w:hAnsi="Tahoma"/>
          <w:b w:val="1"/>
          <w:sz w:val="22"/>
          <w:szCs w:val="22"/>
          <w:rtl w:val="0"/>
        </w:rPr>
        <w:t xml:space="preserve">Dr. Alejandro Masís, Director </w:t>
      </w:r>
    </w:p>
    <w:p w:rsidR="00000000" w:rsidDel="00000000" w:rsidP="00000000" w:rsidRDefault="00000000" w:rsidRPr="00000000">
      <w:pPr>
        <w:ind w:left="708" w:firstLine="708"/>
        <w:contextualSpacing w:val="0"/>
      </w:pPr>
      <w:r w:rsidDel="00000000" w:rsidR="00000000" w:rsidRPr="00000000">
        <w:rPr>
          <w:rFonts w:ascii="Tahoma" w:cs="Tahoma" w:eastAsia="Tahoma" w:hAnsi="Tahoma"/>
          <w:b w:val="1"/>
          <w:sz w:val="22"/>
          <w:szCs w:val="22"/>
          <w:rtl w:val="0"/>
        </w:rPr>
        <w:t xml:space="preserve">Escuela Administración de Empresas</w:t>
      </w:r>
    </w:p>
    <w:p w:rsidR="00000000" w:rsidDel="00000000" w:rsidP="00000000" w:rsidRDefault="00000000" w:rsidRPr="00000000">
      <w:pPr>
        <w:ind w:left="2268" w:firstLine="0"/>
        <w:contextualSpacing w:val="0"/>
      </w:pPr>
      <w:r w:rsidDel="00000000" w:rsidR="00000000" w:rsidRPr="00000000">
        <w:rPr>
          <w:rtl w:val="0"/>
        </w:rPr>
      </w:r>
    </w:p>
    <w:p w:rsidR="00000000" w:rsidDel="00000000" w:rsidP="00000000" w:rsidRDefault="00000000" w:rsidRPr="00000000">
      <w:pPr>
        <w:tabs>
          <w:tab w:val="left" w:pos="840"/>
        </w:tabs>
        <w:contextualSpacing w:val="0"/>
        <w:jc w:val="both"/>
      </w:pPr>
      <w:r w:rsidDel="00000000" w:rsidR="00000000" w:rsidRPr="00000000">
        <w:rPr>
          <w:rFonts w:ascii="Tahoma" w:cs="Tahoma" w:eastAsia="Tahoma" w:hAnsi="Tahoma"/>
          <w:sz w:val="22"/>
          <w:szCs w:val="22"/>
          <w:rtl w:val="0"/>
        </w:rPr>
        <w:t xml:space="preserve">FECHA:</w:t>
        <w:tab/>
        <w:tab/>
      </w:r>
      <w:r w:rsidDel="00000000" w:rsidR="00000000" w:rsidRPr="00000000">
        <w:rPr>
          <w:rFonts w:ascii="Tahoma" w:cs="Tahoma" w:eastAsia="Tahoma" w:hAnsi="Tahoma"/>
          <w:b w:val="1"/>
          <w:sz w:val="22"/>
          <w:szCs w:val="22"/>
          <w:rtl w:val="0"/>
        </w:rPr>
        <w:t xml:space="preserve"> Setiembre 10,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80"/>
        </w:tabs>
        <w:ind w:left="1416" w:hanging="1416"/>
        <w:contextualSpacing w:val="0"/>
        <w:jc w:val="both"/>
      </w:pPr>
      <w:r w:rsidDel="00000000" w:rsidR="00000000" w:rsidRPr="00000000">
        <w:rPr>
          <w:rFonts w:ascii="Tahoma" w:cs="Tahoma" w:eastAsia="Tahoma" w:hAnsi="Tahoma"/>
          <w:sz w:val="22"/>
          <w:szCs w:val="22"/>
          <w:rtl w:val="0"/>
        </w:rPr>
        <w:t xml:space="preserve">ASUNTO: </w:t>
        <w:tab/>
      </w:r>
      <w:r w:rsidDel="00000000" w:rsidR="00000000" w:rsidRPr="00000000">
        <w:rPr>
          <w:rFonts w:ascii="Tahoma" w:cs="Tahoma" w:eastAsia="Tahoma" w:hAnsi="Tahoma"/>
          <w:b w:val="1"/>
          <w:sz w:val="22"/>
          <w:szCs w:val="22"/>
          <w:rtl w:val="0"/>
        </w:rPr>
        <w:t xml:space="preserve">Respuesta a su solicitud de criterio en Proyecto de “Ley de Desarrollo de Obra Pública corrector vial San José San Ramón mediante fideicomiso” según expediente Legislativo no. 18887 </w:t>
      </w:r>
    </w:p>
    <w:p w:rsidR="00000000" w:rsidDel="00000000" w:rsidP="00000000" w:rsidRDefault="00000000" w:rsidRPr="00000000">
      <w:pPr>
        <w:tabs>
          <w:tab w:val="left" w:pos="480"/>
        </w:tabs>
        <w:ind w:left="1416" w:hanging="1416"/>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respuesta a su solicitud de análisis sobre el proyecto de ley   denominado “</w:t>
      </w:r>
      <w:r w:rsidDel="00000000" w:rsidR="00000000" w:rsidRPr="00000000">
        <w:rPr>
          <w:rFonts w:ascii="Tahoma" w:cs="Tahoma" w:eastAsia="Tahoma" w:hAnsi="Tahoma"/>
          <w:b w:val="1"/>
          <w:sz w:val="22"/>
          <w:szCs w:val="22"/>
          <w:rtl w:val="0"/>
        </w:rPr>
        <w:t xml:space="preserve">“Ley de Desarrollo de Obra Pública corrector vial San José San Ramón mediante fideicomiso” según expediente Legislativo no. 18887</w:t>
      </w:r>
      <w:r w:rsidDel="00000000" w:rsidR="00000000" w:rsidRPr="00000000">
        <w:rPr>
          <w:rFonts w:ascii="Arial" w:cs="Arial" w:eastAsia="Arial" w:hAnsi="Arial"/>
          <w:sz w:val="22"/>
          <w:szCs w:val="22"/>
          <w:rtl w:val="0"/>
        </w:rPr>
        <w:t xml:space="preserve">”. Le adjunto el análisis de este proyecto de ley con el  criterio emitido por el Ing. Saúl Fernández Espinoza, profesor de la Escuela de Administración.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Según su criterio la figura del fideicomiso propuesta es la mejor opción q tiene Costa Rica para desarrollar obra pública en el corto plazo.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Existen gran cantidad de recursos tanto en el sistema bancario nacional,  como en los fondos de pensiones que se pueden movilizar para desarrollar esta y otras obras prioritarias para el país.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Las obras públicas con modelos eficientes de administración de los procesos de planeamiento, diseño, ejecución, mantenimiento y administración del proceso de recolección,  resultan  altamente rentables y garantizan el retorno de los dineros para amortizar el fondo y generar un fondo revolutivo para desarrollar nuevas obras prioritarias para el país.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 participación de las universidades me parece clave para llevar a cabo un proceso de fiscalización que garantice, en la fase de planeamiento y diseño, la obtención la mejor solución técnica del proyecto.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sectPr>
      <w:headerReference r:id="rId8" w:type="default"/>
      <w:footerReference r:id="rId9"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2.png"/>
          <a:graphic>
            <a:graphicData uri="http://schemas.openxmlformats.org/drawingml/2006/picture">
              <pic:pic>
                <pic:nvPicPr>
                  <pic:cNvPr descr="Secretaria del Consejo" id="0" name="image02.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2885, Artículo  10  del 17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146" w:firstLine="786"/>
      </w:pPr>
      <w:rPr>
        <w:rFonts w:ascii="Arial" w:cs="Arial" w:eastAsia="Arial" w:hAnsi="Arial"/>
      </w:rPr>
    </w:lvl>
    <w:lvl w:ilvl="1">
      <w:start w:val="1"/>
      <w:numFmt w:val="bullet"/>
      <w:lvlText w:val="o"/>
      <w:lvlJc w:val="left"/>
      <w:pPr>
        <w:ind w:left="1866" w:firstLine="1506"/>
      </w:pPr>
      <w:rPr>
        <w:rFonts w:ascii="Arial" w:cs="Arial" w:eastAsia="Arial" w:hAnsi="Arial"/>
      </w:rPr>
    </w:lvl>
    <w:lvl w:ilvl="2">
      <w:start w:val="1"/>
      <w:numFmt w:val="bullet"/>
      <w:lvlText w:val="▪"/>
      <w:lvlJc w:val="left"/>
      <w:pPr>
        <w:ind w:left="2586" w:firstLine="2226"/>
      </w:pPr>
      <w:rPr>
        <w:rFonts w:ascii="Arial" w:cs="Arial" w:eastAsia="Arial" w:hAnsi="Arial"/>
      </w:rPr>
    </w:lvl>
    <w:lvl w:ilvl="3">
      <w:start w:val="1"/>
      <w:numFmt w:val="bullet"/>
      <w:lvlText w:val="●"/>
      <w:lvlJc w:val="left"/>
      <w:pPr>
        <w:ind w:left="3306" w:firstLine="2946"/>
      </w:pPr>
      <w:rPr>
        <w:rFonts w:ascii="Arial" w:cs="Arial" w:eastAsia="Arial" w:hAnsi="Arial"/>
      </w:rPr>
    </w:lvl>
    <w:lvl w:ilvl="4">
      <w:start w:val="1"/>
      <w:numFmt w:val="bullet"/>
      <w:lvlText w:val="o"/>
      <w:lvlJc w:val="left"/>
      <w:pPr>
        <w:ind w:left="4026" w:firstLine="3666"/>
      </w:pPr>
      <w:rPr>
        <w:rFonts w:ascii="Arial" w:cs="Arial" w:eastAsia="Arial" w:hAnsi="Arial"/>
      </w:rPr>
    </w:lvl>
    <w:lvl w:ilvl="5">
      <w:start w:val="1"/>
      <w:numFmt w:val="bullet"/>
      <w:lvlText w:val="▪"/>
      <w:lvlJc w:val="left"/>
      <w:pPr>
        <w:ind w:left="4746" w:firstLine="4386"/>
      </w:pPr>
      <w:rPr>
        <w:rFonts w:ascii="Arial" w:cs="Arial" w:eastAsia="Arial" w:hAnsi="Arial"/>
      </w:rPr>
    </w:lvl>
    <w:lvl w:ilvl="6">
      <w:start w:val="1"/>
      <w:numFmt w:val="bullet"/>
      <w:lvlText w:val="●"/>
      <w:lvlJc w:val="left"/>
      <w:pPr>
        <w:ind w:left="5466" w:firstLine="5106"/>
      </w:pPr>
      <w:rPr>
        <w:rFonts w:ascii="Arial" w:cs="Arial" w:eastAsia="Arial" w:hAnsi="Arial"/>
      </w:rPr>
    </w:lvl>
    <w:lvl w:ilvl="7">
      <w:start w:val="1"/>
      <w:numFmt w:val="bullet"/>
      <w:lvlText w:val="o"/>
      <w:lvlJc w:val="left"/>
      <w:pPr>
        <w:ind w:left="6186" w:firstLine="5826"/>
      </w:pPr>
      <w:rPr>
        <w:rFonts w:ascii="Arial" w:cs="Arial" w:eastAsia="Arial" w:hAnsi="Arial"/>
      </w:rPr>
    </w:lvl>
    <w:lvl w:ilvl="8">
      <w:start w:val="1"/>
      <w:numFmt w:val="bullet"/>
      <w:lvlText w:val="▪"/>
      <w:lvlJc w:val="left"/>
      <w:pPr>
        <w:ind w:left="6906" w:firstLine="6546"/>
      </w:pPr>
      <w:rPr>
        <w:rFonts w:ascii="Arial" w:cs="Arial" w:eastAsia="Arial" w:hAnsi="Arial"/>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hyperlink" Target="mailto:comision-economicos@asamblea.go.cr" TargetMode="External"/><Relationship Id="rId6" Type="http://schemas.openxmlformats.org/officeDocument/2006/relationships/image" Target="media/image04.png"/><Relationship Id="rId7" Type="http://schemas.openxmlformats.org/officeDocument/2006/relationships/image" Target="media/image05.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02.png"/></Relationships>
</file>