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SCI-90-2014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Guiselle Segnini, Gerente Área Servicios Sociales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Dirección Fiscalización Operativa y Evaluativa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Contraloría General de la República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MAE. William Vives, Vicerrector de Administración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Roy D’Avazo, Director Departamento Financiero Contable</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2"/>
                <w:szCs w:val="22"/>
                <w:rtl w:val="0"/>
              </w:rPr>
              <w:t xml:space="preserve">Sesión Ordinaria No. 2857 Artículo 9, del 19 de febrero de 2014, </w:t>
            </w:r>
            <w:r w:rsidDel="00000000" w:rsidR="00000000" w:rsidRPr="00000000">
              <w:rPr>
                <w:rFonts w:ascii="Arial" w:cs="Arial" w:eastAsia="Arial" w:hAnsi="Arial"/>
                <w:b w:val="1"/>
                <w:sz w:val="24"/>
                <w:szCs w:val="24"/>
                <w:rtl w:val="0"/>
              </w:rPr>
              <w:t xml:space="preserve">Informe de Ejecución Presupuestaria al 31 de diciembre 2013</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R-058-2014, del 10 de febrero de 2014, suscrito por el Dr.  Julio C.  Calvo Alvarado, Rector, dirigido al Ing.  Alexander Valerín, Coordinador de la Comisión de Planificación y Administración, en el cual se remite el Informe de Ejecución Presupuestaria al 31 de diciembre del 2013.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De conformidad con lo establecido en las Normas Técnicas sobre Presupuesto Público, emitidas por medio de Resolución R-DC-024-2012 del Despacho Contralor, a las nueve horas del veintiséis de marzo de dos mil doce, la información de la ejecución del presupuesto correspondiente al cuarto trimestre del año, que conforme con lo establecido en la norma No.  4.3.15 debe presentarse ante el Órgano Contralor y debe incorporarse al Sistema de Planes y Presupuestos (SIPP), a más tardar 15 días hábiles posteriores a la fecha de cierre.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extraordinaria No.  566-2014, realizada el 13 de febrero de 2014, recibió al M.B.A.  William Vives, Vicerrector de Administración; Lic.  Walter Sequeira, Director del Departamento de Aprovisionamiento; Lic. Roy D'Avanzo, Lic.  Johnny Masís, Licda.  Silvia   Watson, Licda.  Kathya   Piedra  y  Lic.  Gustavo  Solórzano, del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9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Departamento Financiero Contable; el MAE.  Nelson Ortega del Departamento de Recursos Humanos; el Lic.  Isidro Álvarez y la Licda.  Deyanira Meza de la Auditoría Interna; la MAU.  Tatiana Fernández, la Licda.  Mercedes Mora y el Lic.  José Antonio Sánchez de la Oficina de Planificación Institucional; en la cual exponen el Informe de Ejecución Presupuestaria al 31 de diciembre del 2013.  Los miembros de la Comisión realizan algunas observaciones en cuanto a:</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Superávit</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Estimación de Ingresos y egresos</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Porcentajes de Ejecución de las distintas partidas.</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El informe de la Auditoría Interna</w:t>
      </w:r>
    </w:p>
    <w:p w:rsidR="00000000" w:rsidDel="00000000" w:rsidP="00000000" w:rsidRDefault="00000000" w:rsidRPr="00000000">
      <w:pPr>
        <w:numPr>
          <w:ilvl w:val="0"/>
          <w:numId w:val="2"/>
        </w:numPr>
        <w:spacing w:after="0" w:before="0" w:line="240"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Entre otras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Algunas de estas observaciones son aclaradas en la reunión, tanto por los funcionarios de los entes técnicos como por las autoridades ejecutivas presentes en la reunión.</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No.  566-2014, realizada el 13 de febrero de 2014, dispone elevar la siguiente propuesta al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AUDI-028-2014, con fecha de recibido 17 de febrero de 2014, suscrito por el Lic.  Isidro Álvarez Salazar, Auditor Interno, dirigido al Dr.  Julio Calvo Alvarado, Presidente del Consejo Institucional, en el cual remite Informe AUDI-AS-002-2014, </w:t>
      </w:r>
      <w:r w:rsidDel="00000000" w:rsidR="00000000" w:rsidRPr="00000000">
        <w:rPr>
          <w:rFonts w:ascii="Arial" w:cs="Arial" w:eastAsia="Arial" w:hAnsi="Arial"/>
          <w:b w:val="0"/>
          <w:i w:val="1"/>
          <w:sz w:val="24"/>
          <w:szCs w:val="24"/>
          <w:rtl w:val="0"/>
        </w:rPr>
        <w:t xml:space="preserve">“Observaciones al Informe de Ejecución Presupuestaria al 31 de diciembre de 2013”</w:t>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Dar por conocido el Informe de Ejecución Presupuestaria al 31 de diciembre de 2013, según documento adjunto.</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Administración atender en lo que corresponda las observaciones de la Auditoría Interna presentadas en el Informe de Asesoría AUDI-AS-002-2014 “Observaciones al Informe de Ejecución Presupuestaria al 31 de diciembre de 2013”.</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COMUNICACIÓN DE ACUERDO</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Sesión Ordinaria No. 2857, Artículo 9  del 19 de febrero de 2014</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Página 3</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Remitir a la Contraloría General de la República el Informe de Ejecución Presupuestaria al 31 de diciembre de 2013.</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rtl w:val="0"/>
        </w:rPr>
        <w:t xml:space="preserve">Palabras  Clave: Ejecución-Presupuestaria-31 de diciembre 2013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208" w:firstLine="848"/>
      </w:pPr>
      <w:rPr>
        <w:rFonts w:ascii="Arial" w:cs="Arial" w:eastAsia="Arial" w:hAnsi="Arial"/>
      </w:rPr>
    </w:lvl>
    <w:lvl w:ilvl="1">
      <w:start w:val="1"/>
      <w:numFmt w:val="bullet"/>
      <w:lvlText w:val="o"/>
      <w:lvlJc w:val="left"/>
      <w:pPr>
        <w:ind w:left="1928" w:firstLine="1568"/>
      </w:pPr>
      <w:rPr>
        <w:rFonts w:ascii="Arial" w:cs="Arial" w:eastAsia="Arial" w:hAnsi="Arial"/>
      </w:rPr>
    </w:lvl>
    <w:lvl w:ilvl="2">
      <w:start w:val="1"/>
      <w:numFmt w:val="bullet"/>
      <w:lvlText w:val="▪"/>
      <w:lvlJc w:val="left"/>
      <w:pPr>
        <w:ind w:left="2648" w:firstLine="2288"/>
      </w:pPr>
      <w:rPr>
        <w:rFonts w:ascii="Arial" w:cs="Arial" w:eastAsia="Arial" w:hAnsi="Arial"/>
      </w:rPr>
    </w:lvl>
    <w:lvl w:ilvl="3">
      <w:start w:val="1"/>
      <w:numFmt w:val="bullet"/>
      <w:lvlText w:val="●"/>
      <w:lvlJc w:val="left"/>
      <w:pPr>
        <w:ind w:left="3368" w:firstLine="3008"/>
      </w:pPr>
      <w:rPr>
        <w:rFonts w:ascii="Arial" w:cs="Arial" w:eastAsia="Arial" w:hAnsi="Arial"/>
      </w:rPr>
    </w:lvl>
    <w:lvl w:ilvl="4">
      <w:start w:val="1"/>
      <w:numFmt w:val="bullet"/>
      <w:lvlText w:val="o"/>
      <w:lvlJc w:val="left"/>
      <w:pPr>
        <w:ind w:left="4088" w:firstLine="3728"/>
      </w:pPr>
      <w:rPr>
        <w:rFonts w:ascii="Arial" w:cs="Arial" w:eastAsia="Arial" w:hAnsi="Arial"/>
      </w:rPr>
    </w:lvl>
    <w:lvl w:ilvl="5">
      <w:start w:val="1"/>
      <w:numFmt w:val="bullet"/>
      <w:lvlText w:val="▪"/>
      <w:lvlJc w:val="left"/>
      <w:pPr>
        <w:ind w:left="4808" w:firstLine="4448"/>
      </w:pPr>
      <w:rPr>
        <w:rFonts w:ascii="Arial" w:cs="Arial" w:eastAsia="Arial" w:hAnsi="Arial"/>
      </w:rPr>
    </w:lvl>
    <w:lvl w:ilvl="6">
      <w:start w:val="1"/>
      <w:numFmt w:val="bullet"/>
      <w:lvlText w:val="●"/>
      <w:lvlJc w:val="left"/>
      <w:pPr>
        <w:ind w:left="5528" w:firstLine="5168"/>
      </w:pPr>
      <w:rPr>
        <w:rFonts w:ascii="Arial" w:cs="Arial" w:eastAsia="Arial" w:hAnsi="Arial"/>
      </w:rPr>
    </w:lvl>
    <w:lvl w:ilvl="7">
      <w:start w:val="1"/>
      <w:numFmt w:val="bullet"/>
      <w:lvlText w:val="o"/>
      <w:lvlJc w:val="left"/>
      <w:pPr>
        <w:ind w:left="6248" w:firstLine="5888"/>
      </w:pPr>
      <w:rPr>
        <w:rFonts w:ascii="Arial" w:cs="Arial" w:eastAsia="Arial" w:hAnsi="Arial"/>
      </w:rPr>
    </w:lvl>
    <w:lvl w:ilvl="8">
      <w:start w:val="1"/>
      <w:numFmt w:val="bullet"/>
      <w:lvlText w:val="▪"/>
      <w:lvlJc w:val="left"/>
      <w:pPr>
        <w:ind w:left="6968" w:firstLine="6608"/>
      </w:pPr>
      <w:rPr>
        <w:rFonts w:ascii="Arial" w:cs="Arial" w:eastAsia="Arial" w:hAnsi="Arial"/>
      </w:rPr>
    </w:lvl>
  </w:abstractNum>
  <w:abstractNum w:abstractNumId="3">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