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tabs>
          <w:tab w:val="left" w:pos="6382"/>
        </w:tabs>
        <w:spacing w:after="0" w:before="0" w:lineRule="auto"/>
        <w:contextualSpacing w:val="0"/>
      </w:pPr>
      <w:r w:rsidDel="00000000" w:rsidR="00000000" w:rsidRPr="00000000">
        <w:rPr>
          <w:rFonts w:ascii="Arial" w:cs="Arial" w:eastAsia="Arial" w:hAnsi="Arial"/>
          <w:i w:val="0"/>
          <w:rtl w:val="0"/>
        </w:rPr>
        <w:t xml:space="preserve">SCI-01-2014</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p>
    <w:p w:rsidR="00000000" w:rsidDel="00000000" w:rsidP="00000000" w:rsidRDefault="00000000" w:rsidRPr="00000000">
      <w:pPr>
        <w:contextualSpacing w:val="0"/>
      </w:pPr>
      <w:r w:rsidDel="00000000" w:rsidR="00000000" w:rsidRPr="00000000">
        <w:rPr>
          <w:rtl w:val="0"/>
        </w:rPr>
      </w:r>
    </w:p>
    <w:tbl>
      <w:tblPr>
        <w:tblStyle w:val="Table1"/>
        <w:bidi w:val="0"/>
        <w:tblW w:w="9930.0" w:type="dxa"/>
        <w:jc w:val="left"/>
        <w:tblInd w:w="-6.999999999999993" w:type="dxa"/>
        <w:tblLayout w:type="fixed"/>
        <w:tblLook w:val="0000"/>
      </w:tblPr>
      <w:tblGrid>
        <w:gridCol w:w="1276"/>
        <w:gridCol w:w="8643"/>
        <w:gridCol w:w="11"/>
        <w:tblGridChange w:id="0">
          <w:tblGrid>
            <w:gridCol w:w="1276"/>
            <w:gridCol w:w="8643"/>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Calvo Alvarado, Rector </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Dra. Claudia Madrizova, Vicerrectora VIESA</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MAE. William Vives, Vicerrector de Administración</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Lic. Roy D’Avanzo, Director del Departamento Financiero Contable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Sr. Esteban Chacón, Presidente 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22 de enero de 2014</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tabs>
                <w:tab w:val="left" w:pos="0"/>
              </w:tabs>
              <w:ind w:firstLine="34"/>
              <w:contextualSpacing w:val="0"/>
              <w:jc w:val="both"/>
            </w:pPr>
            <w:bookmarkStart w:colFirst="0" w:colLast="0" w:name="_gjdgxs" w:id="0"/>
            <w:bookmarkEnd w:id="0"/>
            <w:r w:rsidDel="00000000" w:rsidR="00000000" w:rsidRPr="00000000">
              <w:rPr>
                <w:rFonts w:ascii="Arial" w:cs="Arial" w:eastAsia="Arial" w:hAnsi="Arial"/>
                <w:b w:val="1"/>
                <w:sz w:val="22"/>
                <w:szCs w:val="22"/>
                <w:rtl w:val="0"/>
              </w:rPr>
              <w:t xml:space="preserve">Sesión Ordinaria No. 2853 Artículo 8, del 22 de enero de 2014.  </w:t>
            </w:r>
            <w:r w:rsidDel="00000000" w:rsidR="00000000" w:rsidRPr="00000000">
              <w:rPr>
                <w:rFonts w:ascii="Arial" w:cs="Arial" w:eastAsia="Arial" w:hAnsi="Arial"/>
                <w:b w:val="1"/>
                <w:rtl w:val="0"/>
              </w:rPr>
              <w:t xml:space="preserve">Modificación del acuerdo tomado en Sesión Ordinaria No. 2651, Artículo 11, del 04 de marzo del 2010: “Reformulación del Fondo Solidario de Desarrollo Estudiantil, modificación a la Política de Cobro de Derechos de Estudio y Reforma del Sistema de Becas del Instituto Tecnológico de Costa Rica”, inciso “b.II” sobre la actualización del costo real de formación</w:t>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i w:val="0"/>
          <w:sz w:val="24"/>
          <w:szCs w:val="24"/>
          <w:rtl w:val="0"/>
        </w:rPr>
        <w:t xml:space="preserve">CONSIDERANDO QUE:</w:t>
      </w:r>
      <w:r w:rsidDel="00000000" w:rsidR="00000000" w:rsidRPr="00000000">
        <w:rPr>
          <w:rtl w:val="0"/>
        </w:rPr>
      </w:r>
    </w:p>
    <w:p w:rsidR="00000000" w:rsidDel="00000000" w:rsidP="00000000" w:rsidRDefault="00000000" w:rsidRPr="00000000">
      <w:pPr>
        <w:tabs>
          <w:tab w:val="left" w:pos="6384"/>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Consejo Institucional en la Sesión Ordinaria N° 2651, Artículo 11, del 4 de marzo del 2010, inciso b) aprobó: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Aumentar la política de cobro actual, por Derechos de Estudio, en un 1,25% anual hasta un tope en el cual el estudiante asuma el 25% del costo por derechos de estudio, tomando como referencia el costo real de formación, a partir del año 2011, con el fin de brindar a todos los estudiantes la exoneración del 75% del costo real de formación.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 Autorizar la actualización del costo real de formación según el comportamiento de la inflación anual, de la siguiente manera: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1200" w:firstLine="0"/>
        <w:contextualSpacing w:val="0"/>
        <w:jc w:val="both"/>
      </w:pPr>
      <w:r w:rsidDel="00000000" w:rsidR="00000000" w:rsidRPr="00000000">
        <w:rPr>
          <w:rFonts w:ascii="Arial" w:cs="Arial" w:eastAsia="Arial" w:hAnsi="Arial"/>
          <w:b w:val="0"/>
          <w:sz w:val="24"/>
          <w:szCs w:val="24"/>
          <w:rtl w:val="0"/>
        </w:rPr>
        <w:t xml:space="preserve">Cuadro 1. Incremento del costo real de formación según inflación</w:t>
      </w:r>
    </w:p>
    <w:p w:rsidR="00000000" w:rsidDel="00000000" w:rsidP="00000000" w:rsidRDefault="00000000" w:rsidRPr="00000000">
      <w:pPr>
        <w:spacing w:after="0" w:before="0" w:line="240" w:lineRule="auto"/>
        <w:ind w:left="1200" w:firstLine="0"/>
        <w:contextualSpacing w:val="0"/>
        <w:jc w:val="both"/>
      </w:pPr>
      <w:r w:rsidDel="00000000" w:rsidR="00000000" w:rsidRPr="00000000">
        <w:rPr>
          <w:rtl w:val="0"/>
        </w:rPr>
      </w:r>
    </w:p>
    <w:tbl>
      <w:tblPr>
        <w:tblStyle w:val="Table2"/>
        <w:bidi w:val="0"/>
        <w:tblW w:w="51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1"/>
        <w:gridCol w:w="2445"/>
        <w:tblGridChange w:id="0">
          <w:tblGrid>
            <w:gridCol w:w="2711"/>
            <w:gridCol w:w="2445"/>
          </w:tblGrid>
        </w:tblGridChange>
      </w:tblGrid>
      <w:tr>
        <w:tc>
          <w:tcPr/>
          <w:p w:rsidR="00000000" w:rsidDel="00000000" w:rsidP="00000000" w:rsidRDefault="00000000" w:rsidRPr="00000000">
            <w:pPr>
              <w:ind w:left="120" w:firstLine="0"/>
              <w:contextualSpacing w:val="0"/>
              <w:jc w:val="center"/>
            </w:pPr>
            <w:r w:rsidDel="00000000" w:rsidR="00000000" w:rsidRPr="00000000">
              <w:rPr>
                <w:rFonts w:ascii="Arial" w:cs="Arial" w:eastAsia="Arial" w:hAnsi="Arial"/>
                <w:b w:val="1"/>
                <w:rtl w:val="0"/>
              </w:rPr>
              <w:t xml:space="preserve">INFLACIÓN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AUMENTO</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Menor al 10%</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10%</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Entre el 10% y el 15%</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Valor de la inflación</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Mayor a un 15%</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15%</w:t>
            </w:r>
          </w:p>
        </w:tc>
      </w:tr>
    </w:tbl>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Mediante oficio DFC-1921-2013, suscrito por el Lic. Roy D’ Avanzo Navarro, Director del Departamento Financiero Contable, dirigido a la Dra. Hannia Álvarez, Vicerrectora de Administración a.i., se presenta el cálculo de incremento de los costos de los derechos estudiantiles para el período 2014:</w:t>
      </w:r>
    </w:p>
    <w:p w:rsidR="00000000" w:rsidDel="00000000" w:rsidP="00000000" w:rsidRDefault="00000000" w:rsidRPr="00000000">
      <w:pPr>
        <w:contextualSpacing w:val="0"/>
      </w:pPr>
      <w:r w:rsidDel="00000000" w:rsidR="00000000" w:rsidRPr="00000000">
        <w:rPr>
          <w:rtl w:val="0"/>
        </w:rPr>
      </w:r>
    </w:p>
    <w:tbl>
      <w:tblPr>
        <w:tblStyle w:val="Table3"/>
        <w:bidi w:val="0"/>
        <w:tblW w:w="8171.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80"/>
        <w:gridCol w:w="1591"/>
        <w:tblGridChange w:id="0">
          <w:tblGrid>
            <w:gridCol w:w="6580"/>
            <w:gridCol w:w="1591"/>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Costo de formación del crédito período 2013</w:t>
            </w:r>
          </w:p>
        </w:tc>
        <w:tc>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₡59,582.57</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Aplicación acuerdo SCI-147-2010, inciso b. ii.</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10%</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Adicional Costo formación del crédito para el periodo 2014</w:t>
            </w:r>
          </w:p>
        </w:tc>
        <w:tc>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₡5,958.26</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Costo formación del crédito adicional para el periodo 2014</w:t>
            </w:r>
          </w:p>
        </w:tc>
        <w:tc>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₡65,540.82</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Aplicación acuerdo SCI-147-2010, inciso b. i.</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25%</w:t>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Valor Ordinario del Crédito para el período 2014</w:t>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₡16,385.00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Mediante memorando VIESA-822-2013 fechado 27 de mayo de 2013, la Dra. Claudia Madrizova M., Vicerrectora de la VIESA comunica la estimación de ingresos que tendrá el FSDE para el año 2014:</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bl>
      <w:tblPr>
        <w:tblStyle w:val="Table4"/>
        <w:bidi w:val="0"/>
        <w:tblW w:w="8324.0"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8"/>
        <w:gridCol w:w="2316"/>
        <w:tblGridChange w:id="0">
          <w:tblGrid>
            <w:gridCol w:w="6008"/>
            <w:gridCol w:w="2316"/>
          </w:tblGrid>
        </w:tblGridChange>
      </w:tblGrid>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N° estudiantes matriculados</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14.500*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 Población con necesidad de beca</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50%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Nº Estudiantes que pagan</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7,250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Costo real de formación</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₡65,541.14</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Política de cobro</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25%</w:t>
            </w:r>
          </w:p>
        </w:tc>
      </w:tr>
      <w:tr>
        <w:trPr>
          <w:trHeight w:val="300" w:hRule="atLeast"/>
        </w:trPr>
        <w:tc>
          <w:tcPr>
            <w:vAlign w:val="bottom"/>
          </w:tcPr>
          <w:p w:rsidR="00000000" w:rsidDel="00000000" w:rsidP="00000000" w:rsidRDefault="00000000" w:rsidRPr="00000000">
            <w:pPr>
              <w:contextualSpacing w:val="0"/>
            </w:pPr>
            <w:r w:rsidDel="00000000" w:rsidR="00000000" w:rsidRPr="00000000">
              <w:rPr>
                <w:rFonts w:ascii="Arial" w:cs="Arial" w:eastAsia="Arial" w:hAnsi="Arial"/>
                <w:rtl w:val="0"/>
              </w:rPr>
              <w:t xml:space="preserve">Valor Ordinario del Crédito </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₡16,385.00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Promedio de créditos matriculados</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12</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 Morosidad</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N° estudiantes exonerados</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7,250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Total ingresos por derechos de estudio</w:t>
            </w:r>
          </w:p>
        </w:tc>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₡2,850,990,000.00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Monto a exonerar por Derechos de Estudio</w:t>
            </w:r>
          </w:p>
        </w:tc>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₡1,425,495,000.00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INGRESOS PROYECTADOS DERECHOS ESTUDIO</w:t>
            </w:r>
          </w:p>
        </w:tc>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₡1.425.495.000,00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Intereses sobre Préstamos</w:t>
            </w:r>
          </w:p>
        </w:tc>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₡150,000,000.00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Recuperación de Préstamos</w:t>
            </w:r>
          </w:p>
        </w:tc>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₡150,000,000.00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Recargos y Retiros</w:t>
            </w:r>
          </w:p>
        </w:tc>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₡25,000,000.00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INGRESOS EFECTIVOS</w:t>
            </w:r>
          </w:p>
        </w:tc>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₡1,750,495,000.00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6% DEL FEES PROYECTADO</w:t>
            </w:r>
          </w:p>
        </w:tc>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₡2,264.612.070,00</w:t>
            </w:r>
          </w:p>
        </w:tc>
      </w:tr>
      <w:tr>
        <w:trPr>
          <w:trHeight w:val="300" w:hRule="atLeast"/>
        </w:trPr>
        <w:tc>
          <w:tcPr>
            <w:vAlign w:val="bottom"/>
          </w:tcPr>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APORTE CON RECURSOS FEES</w:t>
            </w:r>
          </w:p>
        </w:tc>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₡514,117,070.00</w:t>
            </w:r>
          </w:p>
        </w:tc>
      </w:tr>
    </w:tbl>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b w:val="0"/>
          <w:sz w:val="24"/>
          <w:szCs w:val="24"/>
          <w:rtl w:val="0"/>
        </w:rPr>
        <w:t xml:space="preserve">*se calcula el número de estudiantes en 2 matrículas regulares al año</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El presupuesto ordinario asignado al FSDE para el 2014 es de ₡</w:t>
      </w:r>
      <w:r w:rsidDel="00000000" w:rsidR="00000000" w:rsidRPr="00000000">
        <w:rPr>
          <w:rFonts w:ascii="Arial" w:cs="Arial" w:eastAsia="Arial" w:hAnsi="Arial"/>
          <w:i w:val="1"/>
          <w:rtl w:val="0"/>
        </w:rPr>
        <w:t xml:space="preserve">2,264.612.070.  </w:t>
      </w:r>
      <w:r w:rsidDel="00000000" w:rsidR="00000000" w:rsidRPr="00000000">
        <w:rPr>
          <w:rFonts w:ascii="Arial" w:cs="Arial" w:eastAsia="Arial" w:hAnsi="Arial"/>
          <w:rtl w:val="0"/>
        </w:rPr>
        <w:t xml:space="preserve">La estimación de ingresos por concepto de derechos de estudio del FSDE realizada por la Comisión para el año 2014 es de ₡1.425.495.000,00.  El TEC está aportando del FEES el monto de ₡514.117.070 (corresponde a un 22,70% del presupuesto del FSDE y a un 1,36 del FEES institucional).</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inflación oficial reportada por el Banco Central de Costa Rica (BCCR) para los últimos 4 años es:</w:t>
      </w:r>
    </w:p>
    <w:tbl>
      <w:tblPr>
        <w:tblStyle w:val="Table5"/>
        <w:bidi w:val="0"/>
        <w:tblW w:w="4221.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2"/>
        <w:gridCol w:w="3449"/>
        <w:tblGridChange w:id="0">
          <w:tblGrid>
            <w:gridCol w:w="772"/>
            <w:gridCol w:w="3449"/>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Año</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Inflación</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2010</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5,82</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2011</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4,74</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2012</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4,55</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2013</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3,68 (al 20 de enero del 2014)</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Banco Central de Costa Rica en el Programa Macroeconómico publicado en julio del 2013, anunció una inflación estimada para el 2013 de 5% ± 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inflación de los últimos años ha estado alrededor del 5%, mientras que en el acuerdo de la Sesión Ordinaria N° 2651, Artículo 11, del 4 de marzo del 2010, inciso b, se consideró una inflación promedio del 10%.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Si se calculara el Valor Ordinario del Crédito para el año 2014 con la inflación estimada por el BCCR para el año 2013, el resultado sería:</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tbl>
      <w:tblPr>
        <w:tblStyle w:val="Table6"/>
        <w:bidi w:val="0"/>
        <w:tblW w:w="8664.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6"/>
        <w:gridCol w:w="1458"/>
        <w:tblGridChange w:id="0">
          <w:tblGrid>
            <w:gridCol w:w="7206"/>
            <w:gridCol w:w="1458"/>
          </w:tblGrid>
        </w:tblGridChange>
      </w:tblGrid>
      <w:t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Costo de formación del crédito real período 2013</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₡59,582.57</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Aplicación de inflación estimada para el 2013</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5%</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Adicional Costo formación del crédito para el periodo 2014</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₡2,979.13</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Costo formación del crédito adicional para el periodo 2014</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₡62,561.70</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Aplicación acuerdo SCI-147-2010, inciso b. i.</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25%</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Valor ordinario del crédito para el período 2014</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₡15,640.42</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Valor ordinario del crédito para el período 2014 redondeado</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₡15,640.00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rPr>
          <w:rFonts w:ascii="Arial" w:cs="Arial" w:eastAsia="Arial" w:hAnsi="Arial"/>
          <w:sz w:val="24"/>
          <w:szCs w:val="24"/>
        </w:rPr>
      </w:pPr>
      <w:r w:rsidDel="00000000" w:rsidR="00000000" w:rsidRPr="00000000">
        <w:rPr>
          <w:rFonts w:ascii="Arial" w:cs="Arial" w:eastAsia="Arial" w:hAnsi="Arial"/>
          <w:b w:val="0"/>
          <w:sz w:val="24"/>
          <w:szCs w:val="24"/>
          <w:rtl w:val="0"/>
        </w:rPr>
        <w:t xml:space="preserve">Con la estimación anterior, el ingreso del FSDE se comportaría de la siguiente manera:</w:t>
      </w:r>
    </w:p>
    <w:p w:rsidR="00000000" w:rsidDel="00000000" w:rsidP="00000000" w:rsidRDefault="00000000" w:rsidRPr="00000000">
      <w:pPr>
        <w:contextualSpacing w:val="0"/>
      </w:pPr>
      <w:r w:rsidDel="00000000" w:rsidR="00000000" w:rsidRPr="00000000">
        <w:rPr>
          <w:rtl w:val="0"/>
        </w:rPr>
      </w:r>
    </w:p>
    <w:tbl>
      <w:tblPr>
        <w:tblStyle w:val="Table7"/>
        <w:bidi w:val="0"/>
        <w:tblW w:w="9488.0" w:type="dxa"/>
        <w:jc w:val="center"/>
        <w:tblInd w:w="-2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4"/>
        <w:gridCol w:w="2267"/>
        <w:gridCol w:w="2477"/>
        <w:tblGridChange w:id="0">
          <w:tblGrid>
            <w:gridCol w:w="4744"/>
            <w:gridCol w:w="2267"/>
            <w:gridCol w:w="2477"/>
          </w:tblGrid>
        </w:tblGridChange>
      </w:tblGrid>
      <w:tr>
        <w:trPr>
          <w:trHeight w:val="3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Inflación</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10%</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5%</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N° estudiantes matriculados</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14,500</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14,500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Población con necesidad de beca</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50%</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50%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Nº Estudiantes que pagan</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7,250</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7,250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Inflacionario</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Costo real de formación</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₡65,541.14</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₡62,571.70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Política de cobro</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25%</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25%</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Costo del crédito </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₡16,385.00</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₡15,640.00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Promedio de créditos matriculados</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12</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12</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 Morosidad</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N° estudiantes exonerados</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7,250</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7,250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Total ingresos por derechos de estudio</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₡2,850,990,000.00</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₡2,721,360,000.00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Monto a exonerar por Derechos de Estudio</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₡1.425.495.000,00</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₡1,360,680,000.00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Ingresos proyectados derechos de estudio</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₡1.425.495.000,00</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₡1,360,680,000.00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Intereses sobre Préstamos</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₡150.000.000.00</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₡150,000,000.00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Recuperación de Préstamos</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₡150,000,000.00</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₡150,000,000.00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Recargos y Retiros</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₡25,000,000.00</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rtl w:val="0"/>
              </w:rPr>
              <w:t xml:space="preserve">₡25,000,000.00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INGRESOS EFECTIVOS</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₡1,750,495,000.00</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₡1,685,680,000.00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6% DEL FEES PROYECTADO</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2,264,612,070.00</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2,264,612,070.00</w:t>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APORTE CON RECURSOS FEES</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₡514,117,070.00</w:t>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rtl w:val="0"/>
              </w:rPr>
              <w:t xml:space="preserve">₡578,932,070.00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El TEC tendría que aportar del FEES un total de ₡578. 932.070, lo que representa una diferencia a lo proyectado con la fórmula original de ₡64.815.000.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Consejo de Rectoría conoció esta propuesta en la Sesión No. 01-2014, realizado el 20 de enero del 2014 y estuvo de acuerdo con la presentación ante el pleno del Consejo Institucional, en los términos citados.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SE 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rtl w:val="0"/>
        </w:rPr>
        <w:t xml:space="preserve">Modificar el acuerdo de la Sesión Ordinaria No. 2651, Artículo 11, del 4 de marzo del 2010, inciso b apartado II, para que se lea de la siguiente manera: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276" w:hanging="916"/>
        <w:contextualSpacing w:val="0"/>
        <w:jc w:val="both"/>
      </w:pPr>
      <w:r w:rsidDel="00000000" w:rsidR="00000000" w:rsidRPr="00000000">
        <w:rPr>
          <w:rFonts w:ascii="Arial" w:cs="Arial" w:eastAsia="Arial" w:hAnsi="Arial"/>
          <w:i w:val="1"/>
          <w:rtl w:val="0"/>
        </w:rPr>
        <w:t xml:space="preserve">“b. ...</w:t>
      </w:r>
    </w:p>
    <w:p w:rsidR="00000000" w:rsidDel="00000000" w:rsidP="00000000" w:rsidRDefault="00000000" w:rsidRPr="00000000">
      <w:pPr>
        <w:ind w:left="1276" w:hanging="916"/>
        <w:contextualSpacing w:val="0"/>
        <w:jc w:val="both"/>
      </w:pPr>
      <w:r w:rsidDel="00000000" w:rsidR="00000000" w:rsidRPr="00000000">
        <w:rPr>
          <w:rtl w:val="0"/>
        </w:rPr>
      </w:r>
    </w:p>
    <w:p w:rsidR="00000000" w:rsidDel="00000000" w:rsidP="00000000" w:rsidRDefault="00000000" w:rsidRPr="00000000">
      <w:pPr>
        <w:ind w:left="1276" w:right="193" w:hanging="425"/>
        <w:contextualSpacing w:val="0"/>
        <w:jc w:val="both"/>
      </w:pPr>
      <w:r w:rsidDel="00000000" w:rsidR="00000000" w:rsidRPr="00000000">
        <w:rPr>
          <w:rFonts w:ascii="Arial" w:cs="Arial" w:eastAsia="Arial" w:hAnsi="Arial"/>
          <w:i w:val="1"/>
          <w:rtl w:val="0"/>
        </w:rPr>
        <w:t xml:space="preserve">ii.  Autorizar la actualización del costo real de formación para el año siguiente, indexando la inflación estimada por el Banco Central de Costa Rica en el Programa Macroeconómico que publica en el mes de julio, del año anterior, fijando como tope máximo el 15%.”…</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rtl w:val="0"/>
        </w:rPr>
        <w:t xml:space="preserve">Solicitar a la administración implementar este acuerdo a partir de su aplicación  y realizar los ajustes presupuestarios en caso de que sea necesario y que informe al Consejo Institucional.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rtl w:val="0"/>
        </w:rPr>
        <w:t xml:space="preserve">Solicitar a la Administración revisar el cálculo del valor real de formación y entregar los resultados a más tardar el 30 de junio del 2014 para su análisis, de acuerdo a los lineamientos estipulados en la Comisión de Planificación y Administración.</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rtl w:val="0"/>
        </w:rPr>
        <w:t xml:space="preserve">Palabras Clave:   Costo crédito – Costo Real de Formación – Modificación</w:t>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18"/>
          <w:szCs w:val="18"/>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8"/>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Oficina Asesoría Legal (para publicar)</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San José</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Limón</w:t>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1440" w:firstLine="0"/>
        <w:contextualSpacing w:val="0"/>
        <w:jc w:val="both"/>
      </w:pPr>
      <w:r w:rsidDel="00000000" w:rsidR="00000000" w:rsidRPr="00000000">
        <w:rPr>
          <w:rtl w:val="0"/>
        </w:rPr>
      </w:r>
    </w:p>
    <w:sectPr>
      <w:headerReference r:id="rId5" w:type="default"/>
      <w:footerReference r:id="rId6" w:type="default"/>
      <w:pgSz w:h="15842" w:w="12242"/>
      <w:pgMar w:bottom="1134" w:top="1134"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0" distR="0">
          <wp:extent cx="55626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5626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rPr>
    </w:lvl>
    <w:lvl w:ilvl="1">
      <w:start w:val="1"/>
      <w:numFmt w:val="lowerLetter"/>
      <w:lvlText w:val="%2."/>
      <w:lvlJc w:val="left"/>
      <w:pPr>
        <w:ind w:left="360" w:firstLine="0"/>
      </w:pPr>
      <w:rPr/>
    </w:lvl>
    <w:lvl w:ilvl="2">
      <w:start w:val="1"/>
      <w:numFmt w:val="lowerRoman"/>
      <w:lvlText w:val="%3."/>
      <w:lvlJc w:val="right"/>
      <w:pPr>
        <w:ind w:left="1080" w:firstLine="900"/>
      </w:pPr>
      <w:rPr/>
    </w:lvl>
    <w:lvl w:ilvl="3">
      <w:start w:val="1"/>
      <w:numFmt w:val="decimal"/>
      <w:lvlText w:val="%4."/>
      <w:lvlJc w:val="left"/>
      <w:pPr>
        <w:ind w:left="1800" w:firstLine="1440"/>
      </w:pPr>
      <w:rPr/>
    </w:lvl>
    <w:lvl w:ilvl="4">
      <w:start w:val="1"/>
      <w:numFmt w:val="lowerLetter"/>
      <w:lvlText w:val="%5."/>
      <w:lvlJc w:val="left"/>
      <w:pPr>
        <w:ind w:left="2520" w:firstLine="2160"/>
      </w:pPr>
      <w:rPr/>
    </w:lvl>
    <w:lvl w:ilvl="5">
      <w:start w:val="1"/>
      <w:numFmt w:val="lowerRoman"/>
      <w:lvlText w:val="%6."/>
      <w:lvlJc w:val="right"/>
      <w:pPr>
        <w:ind w:left="3240" w:firstLine="3060"/>
      </w:pPr>
      <w:rPr/>
    </w:lvl>
    <w:lvl w:ilvl="6">
      <w:start w:val="1"/>
      <w:numFmt w:val="decimal"/>
      <w:lvlText w:val="%7."/>
      <w:lvlJc w:val="left"/>
      <w:pPr>
        <w:ind w:left="3960" w:firstLine="3600"/>
      </w:pPr>
      <w:rPr/>
    </w:lvl>
    <w:lvl w:ilvl="7">
      <w:start w:val="1"/>
      <w:numFmt w:val="lowerLetter"/>
      <w:lvlText w:val="%8."/>
      <w:lvlJc w:val="left"/>
      <w:pPr>
        <w:ind w:left="4680" w:firstLine="4320"/>
      </w:pPr>
      <w:rPr/>
    </w:lvl>
    <w:lvl w:ilvl="8">
      <w:start w:val="1"/>
      <w:numFmt w:val="lowerRoman"/>
      <w:lvlText w:val="%9."/>
      <w:lvlJc w:val="right"/>
      <w:pPr>
        <w:ind w:left="5400" w:firstLine="5220"/>
      </w:pPr>
      <w:rPr/>
    </w:lvl>
  </w:abstractNum>
  <w:abstractNum w:abstractNumId="2">
    <w:lvl w:ilvl="0">
      <w:start w:val="1"/>
      <w:numFmt w:val="lowerRoman"/>
      <w:lvlText w:val="%1."/>
      <w:lvlJc w:val="left"/>
      <w:pPr>
        <w:ind w:left="360" w:firstLine="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360" w:firstLine="0"/>
      </w:pPr>
      <w:rPr>
        <w:rFonts w:ascii="Arial" w:cs="Arial" w:eastAsia="Arial" w:hAnsi="Arial"/>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ind w:right="1332"/>
      <w:jc w:val="center"/>
    </w:pPr>
    <w:rPr>
      <w:rFonts w:ascii="Arial" w:cs="Arial" w:eastAsia="Arial" w:hAnsi="Arial"/>
      <w:b w:val="1"/>
      <w:i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